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34F11" w:rsidP="005D0621">
            <w:pPr>
              <w:rPr>
                <w:b/>
              </w:rPr>
            </w:pPr>
            <w:r>
              <w:rPr>
                <w:rStyle w:val="Firstpagetablebold"/>
              </w:rPr>
              <w:t>11 September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34F11" w:rsidP="004A6D2F">
            <w:pPr>
              <w:rPr>
                <w:rStyle w:val="Firstpagetablebold"/>
              </w:rPr>
            </w:pPr>
            <w:r>
              <w:rPr>
                <w:rStyle w:val="Firstpagetablebold"/>
              </w:rPr>
              <w:t>The 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34F11" w:rsidP="004A6D2F">
            <w:pPr>
              <w:rPr>
                <w:rStyle w:val="Firstpagetablebold"/>
              </w:rPr>
            </w:pPr>
            <w:r>
              <w:rPr>
                <w:rStyle w:val="Firstpagetablebold"/>
              </w:rPr>
              <w:t>Consultation on proposals for a revised Council Tax Reduction Scheme 2020/21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4F11" w:rsidP="00DB7AD7">
            <w:r>
              <w:t>To seek approval for proposals for consultation on changes to the Council’s Council Tax Reduction Scheme for 2020/21</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234F11">
            <w:r w:rsidRPr="001356F1">
              <w:t xml:space="preserve">Councillor </w:t>
            </w:r>
            <w:r w:rsidR="00234F11">
              <w:t>Marie Tidball, Supporting Local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73217C" w:rsidP="005F7F7E">
            <w:r>
              <w:t>An Efficient and E</w:t>
            </w:r>
            <w:r w:rsidR="00234F11">
              <w:t>ffective Council</w:t>
            </w:r>
          </w:p>
          <w:p w:rsidR="00234F11" w:rsidRPr="001356F1" w:rsidRDefault="00234F11"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34F11" w:rsidP="005F7F7E">
            <w:r>
              <w:t>Financial Inclusion Strategy</w:t>
            </w:r>
          </w:p>
        </w:tc>
      </w:tr>
      <w:tr w:rsidR="005F7F7E" w:rsidRPr="00975B07" w:rsidTr="009C74BB">
        <w:trPr>
          <w:trHeight w:val="413"/>
        </w:trPr>
        <w:tc>
          <w:tcPr>
            <w:tcW w:w="8845" w:type="dxa"/>
            <w:gridSpan w:val="3"/>
            <w:tcBorders>
              <w:bottom w:val="single" w:sz="8" w:space="0" w:color="000000"/>
            </w:tcBorders>
          </w:tcPr>
          <w:p w:rsidR="005F7F7E" w:rsidRPr="00975B07" w:rsidRDefault="001E1A0D" w:rsidP="001E1A0D">
            <w:proofErr w:type="spellStart"/>
            <w:r>
              <w:rPr>
                <w:rStyle w:val="Firstpagetablebold"/>
              </w:rPr>
              <w:t>Recommendation</w:t>
            </w:r>
            <w:r w:rsidR="005F7F7E">
              <w:rPr>
                <w:rStyle w:val="Firstpagetablebold"/>
              </w:rPr>
              <w:t>s:</w:t>
            </w:r>
            <w:r w:rsidR="005F7F7E" w:rsidRPr="001E1A0D">
              <w:rPr>
                <w:rStyle w:val="Firstpagetablebold"/>
                <w:b w:val="0"/>
              </w:rPr>
              <w:t>That</w:t>
            </w:r>
            <w:proofErr w:type="spellEnd"/>
            <w:r w:rsidR="005F7F7E" w:rsidRPr="001E1A0D">
              <w:rPr>
                <w:rStyle w:val="Firstpagetablebold"/>
                <w:b w:val="0"/>
              </w:rPr>
              <w:t xml:space="preserve"> </w:t>
            </w:r>
            <w:r w:rsidR="00DB7AD7" w:rsidRPr="001E1A0D">
              <w:rPr>
                <w:rStyle w:val="Firstpagetablebold"/>
                <w:b w:val="0"/>
              </w:rPr>
              <w:t>Cabinet</w:t>
            </w:r>
            <w:r w:rsidR="005F7F7E" w:rsidRPr="001E1A0D">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234F11" w:rsidP="00BB08BE">
            <w:r>
              <w:rPr>
                <w:rStyle w:val="Firstpagetablebold"/>
              </w:rPr>
              <w:t xml:space="preserve">Agree </w:t>
            </w:r>
            <w:r w:rsidRPr="009C74BB">
              <w:rPr>
                <w:rStyle w:val="Firstpagetablebold"/>
                <w:b w:val="0"/>
              </w:rPr>
              <w:t>that the proposals for the 2020/21 Council Tax Reduction Scheme outlined in the report be sub</w:t>
            </w:r>
            <w:r w:rsidR="00F438DB">
              <w:rPr>
                <w:rStyle w:val="Firstpagetablebold"/>
                <w:b w:val="0"/>
              </w:rPr>
              <w:t>ject to</w:t>
            </w:r>
            <w:r w:rsidR="009C74BB" w:rsidRPr="009C74BB">
              <w:rPr>
                <w:rStyle w:val="Firstpagetablebold"/>
                <w:b w:val="0"/>
              </w:rPr>
              <w:t xml:space="preserve"> consultation for</w:t>
            </w:r>
            <w:r w:rsidRPr="009C74BB">
              <w:rPr>
                <w:rStyle w:val="Firstpagetablebold"/>
                <w:b w:val="0"/>
              </w:rPr>
              <w:t xml:space="preserve"> an </w:t>
            </w:r>
            <w:r w:rsidRPr="005D3506">
              <w:rPr>
                <w:rStyle w:val="Firstpagetablebold"/>
                <w:b w:val="0"/>
              </w:rPr>
              <w:t>8</w:t>
            </w:r>
            <w:r w:rsidRPr="009C74BB">
              <w:rPr>
                <w:rStyle w:val="Firstpagetablebold"/>
                <w:b w:val="0"/>
              </w:rPr>
              <w:t xml:space="preserve"> week period from </w:t>
            </w:r>
            <w:r w:rsidR="00BB08BE">
              <w:rPr>
                <w:rStyle w:val="Firstpagetablebold"/>
                <w:b w:val="0"/>
              </w:rPr>
              <w:t xml:space="preserve">23rd </w:t>
            </w:r>
            <w:r w:rsidRPr="009C74BB">
              <w:rPr>
                <w:rStyle w:val="Firstpagetablebold"/>
                <w:b w:val="0"/>
              </w:rPr>
              <w:t>September 2019; and</w:t>
            </w:r>
            <w:r w:rsidR="0030208D" w:rsidRPr="001356F1">
              <w:t xml:space="preserve"> </w:t>
            </w:r>
          </w:p>
        </w:tc>
      </w:tr>
      <w:tr w:rsidR="0030208D" w:rsidRPr="00975B07" w:rsidTr="009C74B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2069B3" w:rsidP="005D3506">
            <w:r w:rsidRPr="001356F1">
              <w:rPr>
                <w:rStyle w:val="Firstpagetablebold"/>
              </w:rPr>
              <w:t>I</w:t>
            </w:r>
            <w:r w:rsidR="00234F11">
              <w:rPr>
                <w:rStyle w:val="Firstpagetablebold"/>
              </w:rPr>
              <w:t xml:space="preserve">nstruct </w:t>
            </w:r>
            <w:r w:rsidR="00234F11" w:rsidRPr="009C74BB">
              <w:rPr>
                <w:rStyle w:val="Firstpagetablebold"/>
                <w:b w:val="0"/>
              </w:rPr>
              <w:t xml:space="preserve">the Head of Financial Services to bring a further report to </w:t>
            </w:r>
            <w:r w:rsidR="005D3506">
              <w:rPr>
                <w:rStyle w:val="Firstpagetablebold"/>
                <w:b w:val="0"/>
              </w:rPr>
              <w:t xml:space="preserve">Cabinet </w:t>
            </w:r>
            <w:r w:rsidR="00234F11" w:rsidRPr="009C74BB">
              <w:rPr>
                <w:rStyle w:val="Firstpagetablebold"/>
                <w:b w:val="0"/>
              </w:rPr>
              <w:t xml:space="preserve">in </w:t>
            </w:r>
            <w:r w:rsidR="00234F11" w:rsidRPr="005D3506">
              <w:rPr>
                <w:rStyle w:val="Firstpagetablebold"/>
                <w:b w:val="0"/>
              </w:rPr>
              <w:t>January 2020</w:t>
            </w:r>
            <w:r w:rsidR="00234F11" w:rsidRPr="009C74BB">
              <w:rPr>
                <w:rStyle w:val="Firstpagetablebold"/>
                <w:b w:val="0"/>
              </w:rPr>
              <w:t xml:space="preserve"> to outline the outcome of the consultation process and make proposals for the 2020/21 Council Tax Reduction Scheme</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9C74BB" w:rsidP="004A6D2F">
            <w:r>
              <w:t>Consultation questions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D3506" w:rsidP="004A6D2F">
            <w:r>
              <w:t>Risk register</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D3506" w:rsidP="004A6D2F">
            <w:r>
              <w:t>Initial Equality Impact Assessment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5B3A22" w:rsidP="005570B5">
      <w:pPr>
        <w:pStyle w:val="ListParagraph"/>
      </w:pPr>
      <w:r>
        <w:t xml:space="preserve">In April 2013 the </w:t>
      </w:r>
      <w:r w:rsidR="000418C4">
        <w:t xml:space="preserve">national </w:t>
      </w:r>
      <w:r>
        <w:t xml:space="preserve">Council Tax Benefit (CTB) scheme was replaced by a new Council Tax Reduction (CTR) scheme. </w:t>
      </w:r>
      <w:r w:rsidR="000418C4">
        <w:t xml:space="preserve">The </w:t>
      </w:r>
      <w:r>
        <w:t xml:space="preserve">CTB </w:t>
      </w:r>
      <w:r w:rsidR="000418C4">
        <w:t xml:space="preserve">scheme </w:t>
      </w:r>
      <w:r>
        <w:t xml:space="preserve">was funded by the </w:t>
      </w:r>
      <w:r>
        <w:lastRenderedPageBreak/>
        <w:t>Department for Work and Pensions (DWP) and supported people on low incomes by reducing the amount of council tax they had to pay.</w:t>
      </w:r>
    </w:p>
    <w:p w:rsidR="005B3A22" w:rsidRDefault="005B3A22" w:rsidP="005570B5">
      <w:pPr>
        <w:pStyle w:val="ListParagraph"/>
      </w:pPr>
      <w:r>
        <w:t>The CTR scheme is for working age customers an</w:t>
      </w:r>
      <w:r w:rsidR="00AE0D8A">
        <w:t>d determined locally by</w:t>
      </w:r>
      <w:r>
        <w:t xml:space="preserve"> Councils rather than nationally by the DWP. The </w:t>
      </w:r>
      <w:r w:rsidR="000418C4">
        <w:t xml:space="preserve">separate </w:t>
      </w:r>
      <w:r>
        <w:t>scheme that exists for pension age recipients is a national scheme prescribed by regulation and cannot be varied locally. Whilst the Government initially provided funding for the new local scheme</w:t>
      </w:r>
      <w:r w:rsidR="000418C4">
        <w:t>s</w:t>
      </w:r>
      <w:r>
        <w:t>, the funding has reduced each year in line with the reduction in the Council’s Revenue Support Grant (RSG)</w:t>
      </w:r>
      <w:r w:rsidR="00BD7E70">
        <w:t>. RS</w:t>
      </w:r>
      <w:r w:rsidR="00C1575E">
        <w:t>G</w:t>
      </w:r>
      <w:r w:rsidR="00BD7E70">
        <w:t xml:space="preserve"> has now reduced to zero and consequently no funding is provided towards the CTR scheme.</w:t>
      </w:r>
    </w:p>
    <w:p w:rsidR="00BD7E70" w:rsidRDefault="00BD7E70" w:rsidP="005570B5">
      <w:pPr>
        <w:pStyle w:val="ListParagraph"/>
      </w:pPr>
      <w:r>
        <w:t>Councils are required to review their CTR scheme annually, and determine whether or not to revise it. In order to change its scheme a council is required by law to:</w:t>
      </w:r>
    </w:p>
    <w:p w:rsidR="00BD7E70" w:rsidRDefault="00BD7E70" w:rsidP="00BD7E70">
      <w:pPr>
        <w:pStyle w:val="ListParagraph"/>
        <w:numPr>
          <w:ilvl w:val="0"/>
          <w:numId w:val="34"/>
        </w:numPr>
      </w:pPr>
      <w:r>
        <w:t>Consult with the major precepting authorities</w:t>
      </w:r>
    </w:p>
    <w:p w:rsidR="00BD7E70" w:rsidRDefault="00BD7E70" w:rsidP="00BD7E70">
      <w:pPr>
        <w:pStyle w:val="ListParagraph"/>
        <w:numPr>
          <w:ilvl w:val="0"/>
          <w:numId w:val="34"/>
        </w:numPr>
      </w:pPr>
      <w:r>
        <w:t>Consult with other persons it considers are likely to have an interest in the operation of the scheme.</w:t>
      </w:r>
    </w:p>
    <w:p w:rsidR="00BD7E70" w:rsidRDefault="00BD7E70" w:rsidP="00BD7E70">
      <w:pPr>
        <w:ind w:left="465"/>
      </w:pPr>
      <w:r>
        <w:t>The CTR scheme</w:t>
      </w:r>
      <w:r w:rsidR="000418C4">
        <w:t xml:space="preserve"> itself must be adopted by </w:t>
      </w:r>
      <w:r>
        <w:t xml:space="preserve">Council, and </w:t>
      </w:r>
      <w:r w:rsidR="000418C4">
        <w:t>the approval</w:t>
      </w:r>
      <w:r w:rsidR="00C1575E">
        <w:t xml:space="preserve"> of the scheme </w:t>
      </w:r>
      <w:r w:rsidR="000418C4">
        <w:t>cannot be delegated to an officer or c</w:t>
      </w:r>
      <w:r>
        <w:t>ommittee.</w:t>
      </w:r>
    </w:p>
    <w:p w:rsidR="00BD7E70" w:rsidRDefault="00F71378" w:rsidP="00BD7E70">
      <w:pPr>
        <w:pStyle w:val="ListParagraph"/>
      </w:pPr>
      <w:r>
        <w:t>The CTR scheme must take account of and support:</w:t>
      </w:r>
    </w:p>
    <w:p w:rsidR="00F71378" w:rsidRDefault="001E003A" w:rsidP="00F71378">
      <w:pPr>
        <w:pStyle w:val="ListParagraph"/>
        <w:numPr>
          <w:ilvl w:val="0"/>
          <w:numId w:val="35"/>
        </w:numPr>
      </w:pPr>
      <w:r>
        <w:t>Work incentives and in particular avoid disincentives for those moving into work</w:t>
      </w:r>
    </w:p>
    <w:p w:rsidR="001E003A" w:rsidRDefault="001E003A" w:rsidP="00F71378">
      <w:pPr>
        <w:pStyle w:val="ListParagraph"/>
        <w:numPr>
          <w:ilvl w:val="0"/>
          <w:numId w:val="35"/>
        </w:numPr>
      </w:pPr>
      <w:r>
        <w:t>The Council’s duties to protect vulnerable people</w:t>
      </w:r>
      <w:r w:rsidR="001C21AD">
        <w:t xml:space="preserve"> (under the Equality Act 2010, the Care Act 2014, the Child Poverty Act 2010, t</w:t>
      </w:r>
      <w:r>
        <w:t>he Housing Act 1996)</w:t>
      </w:r>
    </w:p>
    <w:p w:rsidR="001E003A" w:rsidRDefault="001E003A" w:rsidP="00F71378">
      <w:pPr>
        <w:pStyle w:val="ListParagraph"/>
        <w:numPr>
          <w:ilvl w:val="0"/>
          <w:numId w:val="35"/>
        </w:numPr>
      </w:pPr>
      <w:r>
        <w:t>The Armed Forces Covenant</w:t>
      </w:r>
    </w:p>
    <w:p w:rsidR="001E003A" w:rsidRDefault="00FE785F" w:rsidP="001E003A">
      <w:pPr>
        <w:pStyle w:val="ListParagraph"/>
      </w:pPr>
      <w:r>
        <w:t>2018/19 was the first year that Oxford City Council (OCC) amended its CTR scheme. 2019/20 saw further amendments, including the reversal of the Minimum Income Floor</w:t>
      </w:r>
      <w:r w:rsidR="00BB08BE">
        <w:t xml:space="preserve"> for Self Employed claimants</w:t>
      </w:r>
      <w:r>
        <w:t xml:space="preserve">. Oxford City Council’s scheme </w:t>
      </w:r>
      <w:r w:rsidR="00C1575E">
        <w:t>is</w:t>
      </w:r>
      <w:r>
        <w:t xml:space="preserve"> estimated to cost </w:t>
      </w:r>
      <w:r w:rsidR="00C1575E">
        <w:t xml:space="preserve">the Council </w:t>
      </w:r>
      <w:r w:rsidR="00641C9D">
        <w:t xml:space="preserve">£1.7m for 2019/20. The </w:t>
      </w:r>
      <w:r>
        <w:t xml:space="preserve">cost at 24 July 2019 </w:t>
      </w:r>
      <w:r w:rsidRPr="00D34DE0">
        <w:t>is £1.6</w:t>
      </w:r>
      <w:r w:rsidR="00D34DE0" w:rsidRPr="00D34DE0">
        <w:t>06</w:t>
      </w:r>
      <w:r w:rsidRPr="00D34DE0">
        <w:t>m</w:t>
      </w:r>
      <w:r w:rsidR="00594DC9" w:rsidRPr="00D34DE0">
        <w:t>.</w:t>
      </w:r>
      <w:r w:rsidR="00594DC9">
        <w:t xml:space="preserve"> </w:t>
      </w:r>
      <w:r w:rsidR="00CF79E8" w:rsidRPr="0025033A">
        <w:t>The estimated cost for 2020/21 is £1.7m</w:t>
      </w:r>
      <w:r w:rsidR="00B117E0" w:rsidRPr="0025033A">
        <w:t xml:space="preserve"> </w:t>
      </w:r>
      <w:r w:rsidR="00B117E0" w:rsidRPr="004C291B">
        <w:t xml:space="preserve">however this is dependent upon things outside </w:t>
      </w:r>
      <w:r w:rsidR="0073217C">
        <w:t xml:space="preserve">the Council’s </w:t>
      </w:r>
      <w:r w:rsidR="00B117E0" w:rsidRPr="004C291B">
        <w:t>control, such as the</w:t>
      </w:r>
      <w:r w:rsidR="00EC7280">
        <w:t xml:space="preserve"> level of Council Tax due for the next financial year.</w:t>
      </w:r>
      <w:r w:rsidR="00F438DB">
        <w:t xml:space="preserve"> If Council Tax increases, then the amount of CTR increases proportionally, thus increasing the cost of the scheme.</w:t>
      </w:r>
    </w:p>
    <w:p w:rsidR="00594DC9" w:rsidRPr="00934196" w:rsidRDefault="00594DC9" w:rsidP="00594DC9">
      <w:pPr>
        <w:pStyle w:val="ListParagraph"/>
        <w:rPr>
          <w:rFonts w:eastAsia="Calibri"/>
          <w:lang w:eastAsia="en-US"/>
        </w:rPr>
      </w:pPr>
      <w:r w:rsidRPr="00934196">
        <w:rPr>
          <w:rFonts w:eastAsia="Calibri"/>
          <w:lang w:eastAsia="en-US"/>
        </w:rPr>
        <w:t>Table 1 below sets out the cost</w:t>
      </w:r>
      <w:r w:rsidR="001C21AD">
        <w:rPr>
          <w:rFonts w:eastAsia="Calibri"/>
          <w:lang w:eastAsia="en-US"/>
        </w:rPr>
        <w:t xml:space="preserve"> and caseload </w:t>
      </w:r>
      <w:r w:rsidR="00AE65FF">
        <w:rPr>
          <w:rFonts w:eastAsia="Calibri"/>
          <w:lang w:eastAsia="en-US"/>
        </w:rPr>
        <w:t xml:space="preserve">(number of CTR claimants) </w:t>
      </w:r>
      <w:r w:rsidR="001C21AD">
        <w:rPr>
          <w:rFonts w:eastAsia="Calibri"/>
          <w:lang w:eastAsia="en-US"/>
        </w:rPr>
        <w:t xml:space="preserve">for the OCC </w:t>
      </w:r>
      <w:r w:rsidRPr="00934196">
        <w:rPr>
          <w:rFonts w:eastAsia="Calibri"/>
          <w:lang w:eastAsia="en-US"/>
        </w:rPr>
        <w:t xml:space="preserve">CTR scheme since its introduction. The cost of the scheme is shared </w:t>
      </w:r>
      <w:r w:rsidR="00687E8D">
        <w:rPr>
          <w:rFonts w:eastAsia="Calibri"/>
          <w:lang w:eastAsia="en-US"/>
        </w:rPr>
        <w:t>b</w:t>
      </w:r>
      <w:r w:rsidR="00410668">
        <w:rPr>
          <w:rFonts w:eastAsia="Calibri"/>
          <w:lang w:eastAsia="en-US"/>
        </w:rPr>
        <w:t>y the Oxford City Council (15.7</w:t>
      </w:r>
      <w:r w:rsidRPr="00934196">
        <w:rPr>
          <w:rFonts w:eastAsia="Calibri"/>
          <w:lang w:eastAsia="en-US"/>
        </w:rPr>
        <w:t xml:space="preserve">%), Oxfordshire County Council </w:t>
      </w:r>
      <w:r w:rsidRPr="00410668">
        <w:rPr>
          <w:rFonts w:eastAsia="Calibri"/>
          <w:lang w:eastAsia="en-US"/>
        </w:rPr>
        <w:t>(</w:t>
      </w:r>
      <w:r w:rsidR="00410668" w:rsidRPr="00410668">
        <w:rPr>
          <w:rFonts w:eastAsia="Calibri"/>
          <w:lang w:eastAsia="en-US"/>
        </w:rPr>
        <w:t>73.9</w:t>
      </w:r>
      <w:r w:rsidRPr="00410668">
        <w:rPr>
          <w:rFonts w:eastAsia="Calibri"/>
          <w:lang w:eastAsia="en-US"/>
        </w:rPr>
        <w:t>%)</w:t>
      </w:r>
      <w:r w:rsidRPr="00934196">
        <w:rPr>
          <w:rFonts w:eastAsia="Calibri"/>
          <w:lang w:eastAsia="en-US"/>
        </w:rPr>
        <w:t xml:space="preserve"> and Thames Valley Police</w:t>
      </w:r>
      <w:r>
        <w:rPr>
          <w:rFonts w:eastAsia="Calibri"/>
          <w:lang w:eastAsia="en-US"/>
        </w:rPr>
        <w:t xml:space="preserve"> and Crime Commissioner</w:t>
      </w:r>
      <w:r w:rsidRPr="00934196">
        <w:rPr>
          <w:rFonts w:eastAsia="Calibri"/>
          <w:lang w:eastAsia="en-US"/>
        </w:rPr>
        <w:t xml:space="preserve"> </w:t>
      </w:r>
      <w:r w:rsidRPr="00410668">
        <w:rPr>
          <w:rFonts w:eastAsia="Calibri"/>
          <w:lang w:eastAsia="en-US"/>
        </w:rPr>
        <w:t>(</w:t>
      </w:r>
      <w:r w:rsidR="00410668" w:rsidRPr="00410668">
        <w:rPr>
          <w:rFonts w:eastAsia="Calibri"/>
          <w:lang w:eastAsia="en-US"/>
        </w:rPr>
        <w:t>10.4</w:t>
      </w:r>
      <w:r w:rsidRPr="00410668">
        <w:rPr>
          <w:rFonts w:eastAsia="Calibri"/>
          <w:lang w:eastAsia="en-US"/>
        </w:rPr>
        <w:t>%)</w:t>
      </w:r>
      <w:r w:rsidRPr="00934196">
        <w:rPr>
          <w:rFonts w:eastAsia="Calibri"/>
          <w:lang w:eastAsia="en-US"/>
        </w:rPr>
        <w:t xml:space="preserve"> in accordance with the proportion of </w:t>
      </w:r>
      <w:r>
        <w:rPr>
          <w:rFonts w:eastAsia="Calibri"/>
          <w:lang w:eastAsia="en-US"/>
        </w:rPr>
        <w:t>c</w:t>
      </w:r>
      <w:r w:rsidRPr="00934196">
        <w:rPr>
          <w:rFonts w:eastAsia="Calibri"/>
          <w:lang w:eastAsia="en-US"/>
        </w:rPr>
        <w:t xml:space="preserve">ouncil </w:t>
      </w:r>
      <w:r>
        <w:rPr>
          <w:rFonts w:eastAsia="Calibri"/>
          <w:lang w:eastAsia="en-US"/>
        </w:rPr>
        <w:t>t</w:t>
      </w:r>
      <w:r w:rsidRPr="00934196">
        <w:rPr>
          <w:rFonts w:eastAsia="Calibri"/>
          <w:lang w:eastAsia="en-US"/>
        </w:rPr>
        <w:t>ax levied by each. The table sho</w:t>
      </w:r>
      <w:r w:rsidR="00A516B9">
        <w:rPr>
          <w:rFonts w:eastAsia="Calibri"/>
          <w:lang w:eastAsia="en-US"/>
        </w:rPr>
        <w:t xml:space="preserve">ws that the gap between the </w:t>
      </w:r>
      <w:r w:rsidR="005D3506">
        <w:rPr>
          <w:rFonts w:eastAsia="Calibri"/>
          <w:lang w:eastAsia="en-US"/>
        </w:rPr>
        <w:t xml:space="preserve">cost to the Council </w:t>
      </w:r>
      <w:r w:rsidR="000766CF">
        <w:rPr>
          <w:rFonts w:eastAsia="Calibri"/>
          <w:lang w:eastAsia="en-US"/>
        </w:rPr>
        <w:t xml:space="preserve">between 2018-19 and 2019-20 </w:t>
      </w:r>
      <w:r w:rsidR="00A516B9">
        <w:rPr>
          <w:rFonts w:eastAsia="Calibri"/>
          <w:lang w:eastAsia="en-US"/>
        </w:rPr>
        <w:t>has increased by £45</w:t>
      </w:r>
      <w:r w:rsidR="005D3506">
        <w:rPr>
          <w:rFonts w:eastAsia="Calibri"/>
          <w:lang w:eastAsia="en-US"/>
        </w:rPr>
        <w:t>k</w:t>
      </w:r>
      <w:r w:rsidR="00A516B9">
        <w:rPr>
          <w:rFonts w:eastAsia="Calibri"/>
          <w:lang w:eastAsia="en-US"/>
        </w:rPr>
        <w:t xml:space="preserve"> and the scheme is no longer funded by Government grant.</w:t>
      </w:r>
      <w:r w:rsidRPr="00934196">
        <w:rPr>
          <w:rFonts w:eastAsia="Calibri"/>
          <w:lang w:eastAsia="en-US"/>
        </w:rPr>
        <w:t xml:space="preserve"> </w:t>
      </w: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594DC9" w:rsidRDefault="00594DC9" w:rsidP="00594DC9">
      <w:pPr>
        <w:pStyle w:val="ListParagraph"/>
        <w:numPr>
          <w:ilvl w:val="0"/>
          <w:numId w:val="0"/>
        </w:numPr>
        <w:ind w:left="426"/>
      </w:pPr>
      <w:r w:rsidRPr="00687E8D">
        <w:t>Table 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59"/>
        <w:gridCol w:w="1276"/>
        <w:gridCol w:w="1134"/>
        <w:gridCol w:w="1017"/>
        <w:gridCol w:w="1251"/>
        <w:gridCol w:w="1275"/>
        <w:gridCol w:w="1276"/>
      </w:tblGrid>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jc w:val="center"/>
              <w:rPr>
                <w:rFonts w:cs="Arial"/>
                <w:b/>
                <w:bCs/>
                <w:sz w:val="16"/>
                <w:szCs w:val="16"/>
              </w:rPr>
            </w:pPr>
          </w:p>
        </w:tc>
        <w:tc>
          <w:tcPr>
            <w:tcW w:w="1559"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2013/14</w:t>
            </w:r>
          </w:p>
        </w:tc>
        <w:tc>
          <w:tcPr>
            <w:tcW w:w="1276"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2014/15</w:t>
            </w:r>
          </w:p>
        </w:tc>
        <w:tc>
          <w:tcPr>
            <w:tcW w:w="1134"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2015/16</w:t>
            </w:r>
          </w:p>
        </w:tc>
        <w:tc>
          <w:tcPr>
            <w:tcW w:w="1017"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2016/17</w:t>
            </w:r>
          </w:p>
        </w:tc>
        <w:tc>
          <w:tcPr>
            <w:tcW w:w="1251"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2017/18</w:t>
            </w:r>
          </w:p>
        </w:tc>
        <w:tc>
          <w:tcPr>
            <w:tcW w:w="1275"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2018/19</w:t>
            </w:r>
          </w:p>
        </w:tc>
        <w:tc>
          <w:tcPr>
            <w:tcW w:w="1276"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2019/20</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Cost of Pension Age</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£3,567,670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£3,557,466</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£3,326,142</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£3,274,619</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£3,172,713</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£3,284,610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£3,627,095</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Pension Age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3,572</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3,424</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3,261</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3,122</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3,056</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2,990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2,982</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Cost of Working Age</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£6,593,636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£6,485,387</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£6,234,439</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£6,357,253</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£6,318,785</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£6,541,638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£6,648,458</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Working age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6,434</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6,121</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5,963</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5,841</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5,666</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5,558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5,466</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Total Cost</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£10,161,306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£10,042,852</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£9,560,581</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£9,631,872</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£9,491,498</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£9,826,248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£10,275,553</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Total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10,006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9,545</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9,224</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8,963</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8,722</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8,548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8,448</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p>
        </w:tc>
        <w:tc>
          <w:tcPr>
            <w:tcW w:w="1559" w:type="dxa"/>
            <w:shd w:val="clear" w:color="auto" w:fill="auto"/>
            <w:noWrap/>
            <w:vAlign w:val="bottom"/>
            <w:hideMark/>
          </w:tcPr>
          <w:p w:rsidR="00D34DE0" w:rsidRPr="00D34DE0" w:rsidRDefault="00D34DE0" w:rsidP="00D34DE0">
            <w:pPr>
              <w:spacing w:after="0"/>
              <w:rPr>
                <w:rFonts w:cs="Arial"/>
                <w:sz w:val="16"/>
                <w:szCs w:val="16"/>
              </w:rPr>
            </w:pPr>
          </w:p>
        </w:tc>
        <w:tc>
          <w:tcPr>
            <w:tcW w:w="1276" w:type="dxa"/>
            <w:shd w:val="clear" w:color="auto" w:fill="auto"/>
            <w:noWrap/>
            <w:vAlign w:val="bottom"/>
            <w:hideMark/>
          </w:tcPr>
          <w:p w:rsidR="00D34DE0" w:rsidRPr="00D34DE0" w:rsidRDefault="00D34DE0" w:rsidP="00D34DE0">
            <w:pPr>
              <w:spacing w:after="0"/>
              <w:rPr>
                <w:rFonts w:cs="Arial"/>
                <w:sz w:val="16"/>
                <w:szCs w:val="16"/>
              </w:rPr>
            </w:pPr>
          </w:p>
        </w:tc>
        <w:tc>
          <w:tcPr>
            <w:tcW w:w="1134" w:type="dxa"/>
            <w:shd w:val="clear" w:color="auto" w:fill="auto"/>
            <w:noWrap/>
            <w:vAlign w:val="bottom"/>
            <w:hideMark/>
          </w:tcPr>
          <w:p w:rsidR="00D34DE0" w:rsidRPr="00D34DE0" w:rsidRDefault="00D34DE0" w:rsidP="00D34DE0">
            <w:pPr>
              <w:spacing w:after="0"/>
              <w:rPr>
                <w:rFonts w:cs="Arial"/>
                <w:sz w:val="16"/>
                <w:szCs w:val="16"/>
              </w:rPr>
            </w:pPr>
          </w:p>
        </w:tc>
        <w:tc>
          <w:tcPr>
            <w:tcW w:w="1017" w:type="dxa"/>
            <w:shd w:val="clear" w:color="auto" w:fill="auto"/>
            <w:noWrap/>
            <w:vAlign w:val="bottom"/>
            <w:hideMark/>
          </w:tcPr>
          <w:p w:rsidR="00D34DE0" w:rsidRPr="00D34DE0" w:rsidRDefault="00D34DE0" w:rsidP="00D34DE0">
            <w:pPr>
              <w:spacing w:after="0"/>
              <w:rPr>
                <w:rFonts w:cs="Arial"/>
                <w:sz w:val="16"/>
                <w:szCs w:val="16"/>
              </w:rPr>
            </w:pPr>
          </w:p>
        </w:tc>
        <w:tc>
          <w:tcPr>
            <w:tcW w:w="1251" w:type="dxa"/>
            <w:shd w:val="clear" w:color="auto" w:fill="auto"/>
            <w:noWrap/>
            <w:vAlign w:val="bottom"/>
            <w:hideMark/>
          </w:tcPr>
          <w:p w:rsidR="00D34DE0" w:rsidRPr="00D34DE0" w:rsidRDefault="00D34DE0" w:rsidP="00D34DE0">
            <w:pPr>
              <w:spacing w:after="0"/>
              <w:rPr>
                <w:rFonts w:cs="Arial"/>
                <w:sz w:val="16"/>
                <w:szCs w:val="16"/>
              </w:rPr>
            </w:pPr>
          </w:p>
        </w:tc>
        <w:tc>
          <w:tcPr>
            <w:tcW w:w="1275" w:type="dxa"/>
            <w:shd w:val="clear" w:color="auto" w:fill="auto"/>
            <w:noWrap/>
            <w:vAlign w:val="bottom"/>
            <w:hideMark/>
          </w:tcPr>
          <w:p w:rsidR="00D34DE0" w:rsidRPr="00D34DE0" w:rsidRDefault="00D34DE0" w:rsidP="00D34DE0">
            <w:pPr>
              <w:spacing w:after="0"/>
              <w:rPr>
                <w:rFonts w:cs="Arial"/>
                <w:sz w:val="16"/>
                <w:szCs w:val="16"/>
              </w:rPr>
            </w:pPr>
          </w:p>
        </w:tc>
        <w:tc>
          <w:tcPr>
            <w:tcW w:w="1276" w:type="dxa"/>
            <w:shd w:val="clear" w:color="auto" w:fill="auto"/>
            <w:noWrap/>
            <w:vAlign w:val="bottom"/>
            <w:hideMark/>
          </w:tcPr>
          <w:p w:rsidR="00D34DE0" w:rsidRPr="00D34DE0" w:rsidRDefault="00D34DE0" w:rsidP="00D34DE0">
            <w:pPr>
              <w:spacing w:after="0"/>
              <w:rPr>
                <w:rFonts w:cs="Arial"/>
                <w:sz w:val="16"/>
                <w:szCs w:val="16"/>
              </w:rPr>
            </w:pPr>
          </w:p>
        </w:tc>
      </w:tr>
      <w:tr w:rsidR="00D34DE0" w:rsidRPr="00D34DE0" w:rsidTr="00641C9D">
        <w:trPr>
          <w:trHeight w:val="416"/>
        </w:trPr>
        <w:tc>
          <w:tcPr>
            <w:tcW w:w="1575" w:type="dxa"/>
            <w:shd w:val="clear" w:color="auto" w:fill="auto"/>
            <w:noWrap/>
            <w:vAlign w:val="bottom"/>
            <w:hideMark/>
          </w:tcPr>
          <w:p w:rsidR="00D34DE0" w:rsidRPr="00D34DE0" w:rsidRDefault="00641C9D" w:rsidP="00D34DE0">
            <w:pPr>
              <w:spacing w:after="0"/>
              <w:rPr>
                <w:rFonts w:cs="Arial"/>
                <w:sz w:val="16"/>
                <w:szCs w:val="16"/>
              </w:rPr>
            </w:pPr>
            <w:r>
              <w:rPr>
                <w:rFonts w:cs="Arial"/>
                <w:sz w:val="16"/>
                <w:szCs w:val="16"/>
              </w:rPr>
              <w:t>Cost of the scheme to OCC</w:t>
            </w:r>
            <w:r w:rsidR="00D34DE0" w:rsidRPr="00D34DE0">
              <w:rPr>
                <w:rFonts w:cs="Arial"/>
                <w:sz w:val="16"/>
                <w:szCs w:val="16"/>
              </w:rPr>
              <w:t xml:space="preserve"> </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£1,712,631</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£1,626,667</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£1,575,329</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£1,572,711</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£1,546,165</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£1,561,391</w:t>
            </w:r>
          </w:p>
        </w:tc>
        <w:tc>
          <w:tcPr>
            <w:tcW w:w="1276" w:type="dxa"/>
            <w:shd w:val="clear" w:color="auto" w:fill="auto"/>
            <w:noWrap/>
            <w:vAlign w:val="bottom"/>
            <w:hideMark/>
          </w:tcPr>
          <w:p w:rsidR="00D34DE0" w:rsidRPr="00A516B9" w:rsidRDefault="00D34DE0" w:rsidP="00D34DE0">
            <w:pPr>
              <w:spacing w:after="0"/>
              <w:jc w:val="right"/>
              <w:rPr>
                <w:rFonts w:cs="Arial"/>
                <w:sz w:val="16"/>
                <w:szCs w:val="16"/>
              </w:rPr>
            </w:pPr>
            <w:r w:rsidRPr="00A516B9">
              <w:rPr>
                <w:rFonts w:cs="Arial"/>
                <w:sz w:val="16"/>
                <w:szCs w:val="16"/>
              </w:rPr>
              <w:t>£1,606,475</w:t>
            </w:r>
          </w:p>
        </w:tc>
      </w:tr>
    </w:tbl>
    <w:p w:rsidR="00D34DE0" w:rsidRPr="00D34DE0" w:rsidRDefault="00D34DE0" w:rsidP="00D34DE0">
      <w:pPr>
        <w:rPr>
          <w:rFonts w:eastAsia="Calibri"/>
          <w:lang w:eastAsia="en-US"/>
        </w:rPr>
      </w:pPr>
    </w:p>
    <w:p w:rsidR="0016610B" w:rsidRDefault="0016610B" w:rsidP="0016610B">
      <w:pPr>
        <w:rPr>
          <w:sz w:val="22"/>
          <w:szCs w:val="22"/>
        </w:rPr>
      </w:pPr>
    </w:p>
    <w:p w:rsidR="0016610B" w:rsidRPr="0073217C" w:rsidRDefault="0096134F" w:rsidP="0016610B">
      <w:pPr>
        <w:pStyle w:val="ListParagraph"/>
        <w:ind w:left="360" w:hanging="360"/>
      </w:pPr>
      <w:r w:rsidRPr="0073217C">
        <w:t>The Council’s c</w:t>
      </w:r>
      <w:r w:rsidR="0016610B" w:rsidRPr="0073217C">
        <w:t xml:space="preserve">aseload has fallen by 100 over the last year.  </w:t>
      </w:r>
      <w:r w:rsidR="001C21AD" w:rsidRPr="0073217C">
        <w:t xml:space="preserve">The Council still receives </w:t>
      </w:r>
      <w:r w:rsidR="0016610B" w:rsidRPr="0073217C">
        <w:t>a substantial number of new CTR claims daily. There is nothing significant about this decrease however</w:t>
      </w:r>
      <w:r w:rsidR="001C21AD" w:rsidRPr="0073217C">
        <w:t xml:space="preserve"> the cause</w:t>
      </w:r>
      <w:r w:rsidRPr="0073217C">
        <w:t xml:space="preserve"> will</w:t>
      </w:r>
      <w:r w:rsidR="001C21AD" w:rsidRPr="0073217C">
        <w:t xml:space="preserve"> in most cases be related to</w:t>
      </w:r>
      <w:r w:rsidR="0016610B" w:rsidRPr="0073217C">
        <w:t xml:space="preserve"> changes to income. </w:t>
      </w:r>
    </w:p>
    <w:p w:rsidR="00594DC9" w:rsidRPr="00594DC9" w:rsidRDefault="00594DC9" w:rsidP="00594DC9">
      <w:pPr>
        <w:pStyle w:val="ListParagraph"/>
        <w:rPr>
          <w:rFonts w:eastAsia="Calibri"/>
          <w:lang w:eastAsia="en-US"/>
        </w:rPr>
      </w:pPr>
      <w:r w:rsidRPr="00594DC9">
        <w:rPr>
          <w:rFonts w:eastAsia="Calibri"/>
          <w:lang w:eastAsia="en-US"/>
        </w:rPr>
        <w:t xml:space="preserve">The following changes were made to the </w:t>
      </w:r>
      <w:r w:rsidR="00D36DF2">
        <w:rPr>
          <w:rFonts w:eastAsia="Calibri"/>
          <w:lang w:eastAsia="en-US"/>
        </w:rPr>
        <w:t xml:space="preserve">OCC </w:t>
      </w:r>
      <w:r w:rsidRPr="00594DC9">
        <w:rPr>
          <w:rFonts w:eastAsia="Calibri"/>
          <w:lang w:eastAsia="en-US"/>
        </w:rPr>
        <w:t>CTR scheme</w:t>
      </w:r>
      <w:r>
        <w:rPr>
          <w:rFonts w:eastAsia="Calibri"/>
          <w:lang w:eastAsia="en-US"/>
        </w:rPr>
        <w:t xml:space="preserve"> for the year 2019/20</w:t>
      </w:r>
      <w:r w:rsidRPr="00594DC9">
        <w:rPr>
          <w:rFonts w:eastAsia="Calibri"/>
          <w:lang w:eastAsia="en-US"/>
        </w:rPr>
        <w:t xml:space="preserve">: </w:t>
      </w:r>
    </w:p>
    <w:p w:rsidR="00594DC9" w:rsidRDefault="00DB3F1A" w:rsidP="00594DC9">
      <w:pPr>
        <w:pStyle w:val="ListParagraph"/>
        <w:numPr>
          <w:ilvl w:val="0"/>
          <w:numId w:val="38"/>
        </w:numPr>
      </w:pPr>
      <w:r>
        <w:t>Using</w:t>
      </w:r>
      <w:r w:rsidR="00594DC9">
        <w:t xml:space="preserve"> a system of income bands to decide how much discount people can get from their council tax bill. This system gives a percentage reduction on </w:t>
      </w:r>
      <w:r w:rsidR="00D36DF2">
        <w:t>an applicant’s</w:t>
      </w:r>
      <w:r w:rsidR="00594DC9">
        <w:t xml:space="preserve"> council tax bill, and it is based on the amount of their Universal Credit award, earnings and some other types of income. The income bands have been increased in line with inflation.</w:t>
      </w:r>
    </w:p>
    <w:p w:rsidR="00594DC9" w:rsidRDefault="00DB3F1A" w:rsidP="00594DC9">
      <w:pPr>
        <w:pStyle w:val="PlainText"/>
        <w:numPr>
          <w:ilvl w:val="0"/>
          <w:numId w:val="38"/>
        </w:numPr>
        <w:rPr>
          <w:rFonts w:ascii="Arial" w:hAnsi="Arial" w:cs="Arial"/>
          <w:sz w:val="24"/>
          <w:szCs w:val="24"/>
        </w:rPr>
      </w:pPr>
      <w:r>
        <w:rPr>
          <w:rFonts w:ascii="Arial" w:hAnsi="Arial" w:cs="Arial"/>
          <w:sz w:val="24"/>
          <w:szCs w:val="24"/>
        </w:rPr>
        <w:t>Removal of</w:t>
      </w:r>
      <w:r w:rsidR="00594DC9" w:rsidRPr="00594DC9">
        <w:rPr>
          <w:rFonts w:ascii="Arial" w:hAnsi="Arial" w:cs="Arial"/>
          <w:sz w:val="24"/>
          <w:szCs w:val="24"/>
        </w:rPr>
        <w:t xml:space="preserve"> the minimum income floor (MIF) for people who have been self-employed for more than a year. The MIF assumed that people who had been self-employed for over a year were earning at least the same as someone working 35</w:t>
      </w:r>
      <w:r w:rsidR="00D36DF2">
        <w:rPr>
          <w:rFonts w:ascii="Arial" w:hAnsi="Arial" w:cs="Arial"/>
          <w:sz w:val="24"/>
          <w:szCs w:val="24"/>
        </w:rPr>
        <w:t xml:space="preserve"> hours a week at the </w:t>
      </w:r>
      <w:r>
        <w:rPr>
          <w:rFonts w:ascii="Arial" w:hAnsi="Arial" w:cs="Arial"/>
          <w:sz w:val="24"/>
          <w:szCs w:val="24"/>
        </w:rPr>
        <w:t>National Living Wage</w:t>
      </w:r>
      <w:r w:rsidR="00D36DF2">
        <w:rPr>
          <w:rFonts w:ascii="Arial" w:hAnsi="Arial" w:cs="Arial"/>
          <w:sz w:val="24"/>
          <w:szCs w:val="24"/>
        </w:rPr>
        <w:t xml:space="preserve"> (NLW)</w:t>
      </w:r>
      <w:r w:rsidR="00F106C5">
        <w:rPr>
          <w:rFonts w:ascii="Arial" w:hAnsi="Arial" w:cs="Arial"/>
          <w:sz w:val="24"/>
          <w:szCs w:val="24"/>
        </w:rPr>
        <w:t>. The</w:t>
      </w:r>
      <w:r>
        <w:rPr>
          <w:rFonts w:ascii="Arial" w:hAnsi="Arial" w:cs="Arial"/>
          <w:sz w:val="24"/>
          <w:szCs w:val="24"/>
        </w:rPr>
        <w:t xml:space="preserve"> </w:t>
      </w:r>
      <w:r w:rsidR="00F106C5">
        <w:rPr>
          <w:rFonts w:ascii="Arial" w:hAnsi="Arial" w:cs="Arial"/>
          <w:sz w:val="24"/>
          <w:szCs w:val="24"/>
        </w:rPr>
        <w:t xml:space="preserve">Council now </w:t>
      </w:r>
      <w:r w:rsidR="00594DC9" w:rsidRPr="00594DC9">
        <w:rPr>
          <w:rFonts w:ascii="Arial" w:hAnsi="Arial" w:cs="Arial"/>
          <w:sz w:val="24"/>
          <w:szCs w:val="24"/>
        </w:rPr>
        <w:t>base</w:t>
      </w:r>
      <w:r w:rsidR="00F106C5">
        <w:rPr>
          <w:rFonts w:ascii="Arial" w:hAnsi="Arial" w:cs="Arial"/>
          <w:sz w:val="24"/>
          <w:szCs w:val="24"/>
        </w:rPr>
        <w:t>s</w:t>
      </w:r>
      <w:r w:rsidR="00594DC9" w:rsidRPr="00594DC9">
        <w:rPr>
          <w:rFonts w:ascii="Arial" w:hAnsi="Arial" w:cs="Arial"/>
          <w:sz w:val="24"/>
          <w:szCs w:val="24"/>
        </w:rPr>
        <w:t xml:space="preserve"> all self-employed people's CTR </w:t>
      </w:r>
      <w:r w:rsidR="00F106C5">
        <w:rPr>
          <w:rFonts w:ascii="Arial" w:hAnsi="Arial" w:cs="Arial"/>
          <w:sz w:val="24"/>
          <w:szCs w:val="24"/>
        </w:rPr>
        <w:t xml:space="preserve">entitlement </w:t>
      </w:r>
      <w:r w:rsidR="00594DC9" w:rsidRPr="00594DC9">
        <w:rPr>
          <w:rFonts w:ascii="Arial" w:hAnsi="Arial" w:cs="Arial"/>
          <w:sz w:val="24"/>
          <w:szCs w:val="24"/>
        </w:rPr>
        <w:t>on their actual earnings.</w:t>
      </w:r>
    </w:p>
    <w:p w:rsidR="00687E8D" w:rsidRPr="00594DC9" w:rsidRDefault="00687E8D" w:rsidP="00687E8D">
      <w:pPr>
        <w:pStyle w:val="PlainText"/>
        <w:ind w:left="1146"/>
        <w:rPr>
          <w:rFonts w:ascii="Arial" w:hAnsi="Arial" w:cs="Arial"/>
          <w:sz w:val="24"/>
          <w:szCs w:val="24"/>
        </w:rPr>
      </w:pPr>
    </w:p>
    <w:p w:rsidR="00594DC9" w:rsidRPr="00594DC9" w:rsidRDefault="0073217C" w:rsidP="00594DC9">
      <w:pPr>
        <w:spacing w:after="0"/>
        <w:ind w:left="426"/>
        <w:rPr>
          <w:rFonts w:eastAsia="Calibri" w:cs="Arial"/>
          <w:color w:val="auto"/>
          <w:lang w:eastAsia="en-US"/>
        </w:rPr>
      </w:pPr>
      <w:r>
        <w:rPr>
          <w:rFonts w:eastAsia="Calibri" w:cs="Arial"/>
          <w:color w:val="auto"/>
          <w:lang w:eastAsia="en-US"/>
        </w:rPr>
        <w:t>The cost of</w:t>
      </w:r>
      <w:r w:rsidR="00594DC9" w:rsidRPr="004C291B">
        <w:rPr>
          <w:rFonts w:eastAsia="Calibri" w:cs="Arial"/>
          <w:color w:val="auto"/>
          <w:lang w:eastAsia="en-US"/>
        </w:rPr>
        <w:t xml:space="preserve"> savings of each of these measures </w:t>
      </w:r>
      <w:r w:rsidR="005D3506">
        <w:rPr>
          <w:rFonts w:eastAsia="Calibri" w:cs="Arial"/>
          <w:color w:val="auto"/>
          <w:lang w:eastAsia="en-US"/>
        </w:rPr>
        <w:t xml:space="preserve">was expected to be around </w:t>
      </w:r>
      <w:r w:rsidR="00C71A0C">
        <w:rPr>
          <w:rFonts w:eastAsia="Calibri" w:cs="Arial"/>
          <w:color w:val="auto"/>
          <w:lang w:eastAsia="en-US"/>
        </w:rPr>
        <w:t>£20k</w:t>
      </w:r>
      <w:r w:rsidR="00594DC9" w:rsidRPr="004C291B">
        <w:rPr>
          <w:rFonts w:eastAsia="Calibri" w:cs="Arial"/>
          <w:color w:val="auto"/>
          <w:lang w:eastAsia="en-US"/>
        </w:rPr>
        <w:t>. However</w:t>
      </w:r>
      <w:r>
        <w:rPr>
          <w:rFonts w:eastAsia="Calibri" w:cs="Arial"/>
          <w:color w:val="auto"/>
          <w:lang w:eastAsia="en-US"/>
        </w:rPr>
        <w:t>,</w:t>
      </w:r>
      <w:r w:rsidR="00594DC9" w:rsidRPr="004C291B">
        <w:rPr>
          <w:rFonts w:eastAsia="Calibri" w:cs="Arial"/>
          <w:color w:val="auto"/>
          <w:lang w:eastAsia="en-US"/>
        </w:rPr>
        <w:t xml:space="preserve"> taken together, the changes have had no significant impact on the overall cost of support</w:t>
      </w:r>
      <w:r w:rsidR="00F106C5">
        <w:rPr>
          <w:rFonts w:eastAsia="Calibri" w:cs="Arial"/>
          <w:color w:val="auto"/>
          <w:lang w:eastAsia="en-US"/>
        </w:rPr>
        <w:t xml:space="preserve"> to the Council</w:t>
      </w:r>
      <w:r w:rsidR="00594DC9" w:rsidRPr="00983680">
        <w:rPr>
          <w:rFonts w:eastAsia="Calibri" w:cs="Arial"/>
          <w:color w:val="auto"/>
          <w:lang w:eastAsia="en-US"/>
        </w:rPr>
        <w:t>. Council tax bills increased on a</w:t>
      </w:r>
      <w:r w:rsidR="00687E8D" w:rsidRPr="00983680">
        <w:rPr>
          <w:rFonts w:eastAsia="Calibri" w:cs="Arial"/>
          <w:color w:val="auto"/>
          <w:lang w:eastAsia="en-US"/>
        </w:rPr>
        <w:t xml:space="preserve">verage by </w:t>
      </w:r>
      <w:r w:rsidR="00983680" w:rsidRPr="00983680">
        <w:rPr>
          <w:rFonts w:eastAsia="Calibri" w:cs="Arial"/>
          <w:color w:val="auto"/>
          <w:lang w:eastAsia="en-US"/>
        </w:rPr>
        <w:t>4.0</w:t>
      </w:r>
      <w:r w:rsidR="00687E8D" w:rsidRPr="00983680">
        <w:rPr>
          <w:rFonts w:eastAsia="Calibri" w:cs="Arial"/>
          <w:color w:val="auto"/>
          <w:lang w:eastAsia="en-US"/>
        </w:rPr>
        <w:t>% in Oxford in 2019/20</w:t>
      </w:r>
      <w:r w:rsidR="00594DC9" w:rsidRPr="00983680">
        <w:rPr>
          <w:rFonts w:eastAsia="Calibri" w:cs="Arial"/>
          <w:color w:val="auto"/>
          <w:lang w:eastAsia="en-US"/>
        </w:rPr>
        <w:t>,</w:t>
      </w:r>
      <w:r w:rsidR="00594DC9" w:rsidRPr="0025033A">
        <w:rPr>
          <w:rFonts w:eastAsia="Calibri" w:cs="Arial"/>
          <w:color w:val="auto"/>
          <w:lang w:eastAsia="en-US"/>
        </w:rPr>
        <w:t xml:space="preserve"> and the cost of CTR increased by </w:t>
      </w:r>
      <w:r w:rsidR="0025033A" w:rsidRPr="0025033A">
        <w:rPr>
          <w:rFonts w:eastAsia="Calibri" w:cs="Arial"/>
          <w:color w:val="auto"/>
          <w:lang w:eastAsia="en-US"/>
        </w:rPr>
        <w:t>5.8</w:t>
      </w:r>
      <w:r w:rsidR="00594DC9" w:rsidRPr="0025033A">
        <w:rPr>
          <w:rFonts w:eastAsia="Calibri" w:cs="Arial"/>
          <w:color w:val="auto"/>
          <w:lang w:eastAsia="en-US"/>
        </w:rPr>
        <w:t xml:space="preserve">% </w:t>
      </w:r>
      <w:r w:rsidR="00687E8D" w:rsidRPr="0025033A">
        <w:rPr>
          <w:rFonts w:eastAsia="Calibri" w:cs="Arial"/>
          <w:color w:val="auto"/>
          <w:lang w:eastAsia="en-US"/>
        </w:rPr>
        <w:t>from March 2019 to April 2019</w:t>
      </w:r>
      <w:r w:rsidR="00594DC9" w:rsidRPr="0025033A">
        <w:rPr>
          <w:rFonts w:eastAsia="Calibri" w:cs="Arial"/>
          <w:color w:val="auto"/>
          <w:lang w:eastAsia="en-US"/>
        </w:rPr>
        <w:t>.</w:t>
      </w:r>
    </w:p>
    <w:p w:rsidR="00594DC9" w:rsidRDefault="00594DC9" w:rsidP="00594DC9">
      <w:pPr>
        <w:pStyle w:val="ListParagraph"/>
        <w:numPr>
          <w:ilvl w:val="0"/>
          <w:numId w:val="0"/>
        </w:numPr>
        <w:ind w:left="1146"/>
      </w:pPr>
    </w:p>
    <w:p w:rsidR="00332304" w:rsidRDefault="00593552" w:rsidP="00332304">
      <w:pPr>
        <w:pStyle w:val="ListParagraph"/>
        <w:rPr>
          <w:rFonts w:eastAsia="Calibri"/>
          <w:lang w:eastAsia="en-US"/>
        </w:rPr>
      </w:pPr>
      <w:r w:rsidRPr="00593552">
        <w:rPr>
          <w:rFonts w:eastAsia="Calibri"/>
          <w:lang w:eastAsia="en-US"/>
        </w:rPr>
        <w:t>Prior to drafting this report, officers considered a range of options for</w:t>
      </w:r>
      <w:r>
        <w:rPr>
          <w:rFonts w:eastAsia="Calibri"/>
          <w:lang w:eastAsia="en-US"/>
        </w:rPr>
        <w:t xml:space="preserve"> changing the CTR scheme in 2020/21</w:t>
      </w:r>
      <w:r w:rsidR="00F106C5">
        <w:rPr>
          <w:rFonts w:eastAsia="Calibri"/>
          <w:lang w:eastAsia="en-US"/>
        </w:rPr>
        <w:t>. This included</w:t>
      </w:r>
      <w:r w:rsidRPr="00593552">
        <w:rPr>
          <w:rFonts w:eastAsia="Calibri"/>
          <w:lang w:eastAsia="en-US"/>
        </w:rPr>
        <w:t xml:space="preserve"> options to reduce the c</w:t>
      </w:r>
      <w:r w:rsidR="00F106C5">
        <w:rPr>
          <w:rFonts w:eastAsia="Calibri"/>
          <w:lang w:eastAsia="en-US"/>
        </w:rPr>
        <w:t>ost of the scheme incorporating the introduction of</w:t>
      </w:r>
      <w:r w:rsidRPr="00593552">
        <w:rPr>
          <w:rFonts w:eastAsia="Calibri"/>
          <w:lang w:eastAsia="en-US"/>
        </w:rPr>
        <w:t xml:space="preserve"> a minimum charge for all residents</w:t>
      </w:r>
      <w:r>
        <w:rPr>
          <w:rFonts w:eastAsia="Calibri"/>
          <w:lang w:eastAsia="en-US"/>
        </w:rPr>
        <w:t>, providing certain categories of claimants with full CTR if a minimum charge was introduced, and bringing CTR more in line with being a discount.</w:t>
      </w:r>
      <w:r w:rsidR="00332304">
        <w:rPr>
          <w:rFonts w:eastAsia="Calibri"/>
          <w:lang w:eastAsia="en-US"/>
        </w:rPr>
        <w:t xml:space="preserve"> </w:t>
      </w:r>
    </w:p>
    <w:p w:rsidR="00332304" w:rsidRPr="00332304" w:rsidRDefault="00F106C5" w:rsidP="00332304">
      <w:pPr>
        <w:pStyle w:val="ListParagraph"/>
        <w:rPr>
          <w:rFonts w:eastAsia="Calibri"/>
          <w:lang w:eastAsia="en-US"/>
        </w:rPr>
      </w:pPr>
      <w:r>
        <w:rPr>
          <w:rFonts w:eastAsia="Calibri"/>
          <w:lang w:eastAsia="en-US"/>
        </w:rPr>
        <w:t>If the Cabinet is</w:t>
      </w:r>
      <w:r w:rsidR="00332304">
        <w:rPr>
          <w:rFonts w:eastAsia="Calibri"/>
          <w:lang w:eastAsia="en-US"/>
        </w:rPr>
        <w:t xml:space="preserve"> not minded to make any significant cha</w:t>
      </w:r>
      <w:r>
        <w:rPr>
          <w:rFonts w:eastAsia="Calibri"/>
          <w:lang w:eastAsia="en-US"/>
        </w:rPr>
        <w:t xml:space="preserve">nges to the scheme for 2020/21, it </w:t>
      </w:r>
      <w:r w:rsidR="00332304">
        <w:rPr>
          <w:rFonts w:eastAsia="Calibri"/>
          <w:lang w:eastAsia="en-US"/>
        </w:rPr>
        <w:t>may have to consider this position going forward as the financial pre</w:t>
      </w:r>
      <w:r>
        <w:rPr>
          <w:rFonts w:eastAsia="Calibri"/>
          <w:lang w:eastAsia="en-US"/>
        </w:rPr>
        <w:t>ssures on the council over the medium t</w:t>
      </w:r>
      <w:r w:rsidR="00332304">
        <w:rPr>
          <w:rFonts w:eastAsia="Calibri"/>
          <w:lang w:eastAsia="en-US"/>
        </w:rPr>
        <w:t>erm increase</w:t>
      </w:r>
      <w:r w:rsidR="00AE65FF">
        <w:rPr>
          <w:rFonts w:eastAsia="Calibri"/>
          <w:lang w:eastAsia="en-US"/>
        </w:rPr>
        <w:t>.</w:t>
      </w:r>
    </w:p>
    <w:p w:rsidR="008A4C91" w:rsidRDefault="008A4C91" w:rsidP="00876547">
      <w:pPr>
        <w:pStyle w:val="ListParagraph"/>
        <w:rPr>
          <w:rFonts w:eastAsia="Calibri"/>
          <w:lang w:eastAsia="en-US"/>
        </w:rPr>
      </w:pPr>
      <w:r w:rsidRPr="00934196">
        <w:rPr>
          <w:rFonts w:eastAsia="Calibri"/>
          <w:lang w:eastAsia="en-US"/>
        </w:rPr>
        <w:lastRenderedPageBreak/>
        <w:t>For next year’s scheme</w:t>
      </w:r>
      <w:r w:rsidR="00F33626">
        <w:rPr>
          <w:rFonts w:eastAsia="Calibri"/>
          <w:lang w:eastAsia="en-US"/>
        </w:rPr>
        <w:t xml:space="preserve"> (2020/21)</w:t>
      </w:r>
      <w:r w:rsidRPr="00934196">
        <w:rPr>
          <w:rFonts w:eastAsia="Calibri"/>
          <w:lang w:eastAsia="en-US"/>
        </w:rPr>
        <w:t xml:space="preserve">, it is proposed that </w:t>
      </w:r>
      <w:r w:rsidR="00F33626">
        <w:rPr>
          <w:rFonts w:eastAsia="Calibri"/>
          <w:lang w:eastAsia="en-US"/>
        </w:rPr>
        <w:t xml:space="preserve">the Council carries out consultation </w:t>
      </w:r>
      <w:r w:rsidRPr="00934196">
        <w:rPr>
          <w:rFonts w:eastAsia="Calibri"/>
          <w:lang w:eastAsia="en-US"/>
        </w:rPr>
        <w:t xml:space="preserve">to assess the impact of </w:t>
      </w:r>
      <w:r w:rsidR="00C71A0C">
        <w:rPr>
          <w:rFonts w:eastAsia="Calibri"/>
          <w:lang w:eastAsia="en-US"/>
        </w:rPr>
        <w:t>some minor amendments.</w:t>
      </w:r>
      <w:r w:rsidR="00B52D2C">
        <w:rPr>
          <w:rFonts w:eastAsia="Calibri"/>
          <w:lang w:eastAsia="en-US"/>
        </w:rPr>
        <w:t xml:space="preserve"> These include:</w:t>
      </w:r>
    </w:p>
    <w:p w:rsidR="00B52D2C" w:rsidRDefault="00B52D2C" w:rsidP="00B52D2C">
      <w:pPr>
        <w:pStyle w:val="ListParagraph"/>
        <w:numPr>
          <w:ilvl w:val="0"/>
          <w:numId w:val="43"/>
        </w:numPr>
        <w:rPr>
          <w:rFonts w:eastAsia="Calibri"/>
          <w:lang w:eastAsia="en-US"/>
        </w:rPr>
      </w:pPr>
      <w:r>
        <w:rPr>
          <w:rFonts w:eastAsia="Calibri"/>
          <w:lang w:eastAsia="en-US"/>
        </w:rPr>
        <w:t xml:space="preserve">Changes that affect CTR to be applied from the date of the claim, rather than the Monday after the change. This mirrors how the daily charge for Council Tax works and the cost of doing this will </w:t>
      </w:r>
      <w:r w:rsidR="00F33626">
        <w:rPr>
          <w:rFonts w:eastAsia="Calibri"/>
          <w:lang w:eastAsia="en-US"/>
        </w:rPr>
        <w:t>be neutral</w:t>
      </w:r>
      <w:r>
        <w:rPr>
          <w:rFonts w:eastAsia="Calibri"/>
          <w:lang w:eastAsia="en-US"/>
        </w:rPr>
        <w:t>.</w:t>
      </w:r>
      <w:r w:rsidR="00F33626">
        <w:rPr>
          <w:rFonts w:eastAsia="Calibri"/>
          <w:lang w:eastAsia="en-US"/>
        </w:rPr>
        <w:t xml:space="preserve"> The impact on</w:t>
      </w:r>
      <w:r w:rsidR="00476874">
        <w:rPr>
          <w:rFonts w:eastAsia="Calibri"/>
          <w:lang w:eastAsia="en-US"/>
        </w:rPr>
        <w:t xml:space="preserve"> claimant</w:t>
      </w:r>
      <w:r w:rsidR="00F33626">
        <w:rPr>
          <w:rFonts w:eastAsia="Calibri"/>
          <w:lang w:eastAsia="en-US"/>
        </w:rPr>
        <w:t>s</w:t>
      </w:r>
      <w:r w:rsidR="00476874">
        <w:rPr>
          <w:rFonts w:eastAsia="Calibri"/>
          <w:lang w:eastAsia="en-US"/>
        </w:rPr>
        <w:t xml:space="preserve"> is</w:t>
      </w:r>
      <w:r w:rsidR="006B6A8D">
        <w:rPr>
          <w:rFonts w:eastAsia="Calibri"/>
          <w:lang w:eastAsia="en-US"/>
        </w:rPr>
        <w:t xml:space="preserve"> that some may lose up to 7 days entitlement to CTR where others will gain up to 7 days entitlement.</w:t>
      </w:r>
    </w:p>
    <w:p w:rsidR="00B52D2C" w:rsidRDefault="00B52D2C" w:rsidP="00B52D2C">
      <w:pPr>
        <w:pStyle w:val="ListParagraph"/>
        <w:numPr>
          <w:ilvl w:val="0"/>
          <w:numId w:val="43"/>
        </w:numPr>
        <w:rPr>
          <w:rFonts w:eastAsia="Calibri"/>
          <w:lang w:eastAsia="en-US"/>
        </w:rPr>
      </w:pPr>
      <w:r>
        <w:rPr>
          <w:rFonts w:eastAsia="Calibri"/>
          <w:lang w:eastAsia="en-US"/>
        </w:rPr>
        <w:t xml:space="preserve">Leaving a </w:t>
      </w:r>
      <w:r w:rsidR="009B1767">
        <w:rPr>
          <w:rFonts w:eastAsia="Calibri"/>
          <w:lang w:eastAsia="en-US"/>
        </w:rPr>
        <w:t xml:space="preserve">CTR </w:t>
      </w:r>
      <w:r>
        <w:rPr>
          <w:rFonts w:eastAsia="Calibri"/>
          <w:lang w:eastAsia="en-US"/>
        </w:rPr>
        <w:t xml:space="preserve">claim open for 6 months whilst there is a Universal Credit </w:t>
      </w:r>
      <w:r w:rsidR="00AE65FF">
        <w:rPr>
          <w:rFonts w:eastAsia="Calibri"/>
          <w:lang w:eastAsia="en-US"/>
        </w:rPr>
        <w:t xml:space="preserve">application </w:t>
      </w:r>
      <w:r>
        <w:rPr>
          <w:rFonts w:eastAsia="Calibri"/>
          <w:lang w:eastAsia="en-US"/>
        </w:rPr>
        <w:t xml:space="preserve">in place. This will mean a small administration saving </w:t>
      </w:r>
      <w:r w:rsidR="009B1767">
        <w:rPr>
          <w:rFonts w:eastAsia="Calibri"/>
          <w:lang w:eastAsia="en-US"/>
        </w:rPr>
        <w:t>as the Council will be</w:t>
      </w:r>
      <w:r>
        <w:rPr>
          <w:rFonts w:eastAsia="Calibri"/>
          <w:lang w:eastAsia="en-US"/>
        </w:rPr>
        <w:t xml:space="preserve"> able to use the same </w:t>
      </w:r>
      <w:r w:rsidR="00AE65FF">
        <w:rPr>
          <w:rFonts w:eastAsia="Calibri"/>
          <w:lang w:eastAsia="en-US"/>
        </w:rPr>
        <w:t xml:space="preserve">CTR </w:t>
      </w:r>
      <w:r>
        <w:rPr>
          <w:rFonts w:eastAsia="Calibri"/>
          <w:lang w:eastAsia="en-US"/>
        </w:rPr>
        <w:t xml:space="preserve">claim </w:t>
      </w:r>
      <w:r w:rsidR="009B1767">
        <w:rPr>
          <w:rFonts w:eastAsia="Calibri"/>
          <w:lang w:eastAsia="en-US"/>
        </w:rPr>
        <w:t xml:space="preserve">more than once </w:t>
      </w:r>
      <w:r>
        <w:rPr>
          <w:rFonts w:eastAsia="Calibri"/>
          <w:lang w:eastAsia="en-US"/>
        </w:rPr>
        <w:t xml:space="preserve">rather than </w:t>
      </w:r>
      <w:r w:rsidR="009B1767">
        <w:rPr>
          <w:rFonts w:eastAsia="Calibri"/>
          <w:lang w:eastAsia="en-US"/>
        </w:rPr>
        <w:t>claimants having to make</w:t>
      </w:r>
      <w:r>
        <w:rPr>
          <w:rFonts w:eastAsia="Calibri"/>
          <w:lang w:eastAsia="en-US"/>
        </w:rPr>
        <w:t xml:space="preserve"> a new </w:t>
      </w:r>
      <w:r w:rsidR="00F438DB">
        <w:rPr>
          <w:rFonts w:eastAsia="Calibri"/>
          <w:lang w:eastAsia="en-US"/>
        </w:rPr>
        <w:t xml:space="preserve">CTR </w:t>
      </w:r>
      <w:r>
        <w:rPr>
          <w:rFonts w:eastAsia="Calibri"/>
          <w:lang w:eastAsia="en-US"/>
        </w:rPr>
        <w:t>claim</w:t>
      </w:r>
      <w:r w:rsidR="0073217C">
        <w:rPr>
          <w:rFonts w:eastAsia="Calibri"/>
          <w:lang w:eastAsia="en-US"/>
        </w:rPr>
        <w:t xml:space="preserve"> or claims</w:t>
      </w:r>
      <w:r w:rsidR="009B1767">
        <w:rPr>
          <w:rFonts w:eastAsia="Calibri"/>
          <w:lang w:eastAsia="en-US"/>
        </w:rPr>
        <w:t>, with</w:t>
      </w:r>
      <w:r>
        <w:rPr>
          <w:rFonts w:eastAsia="Calibri"/>
          <w:lang w:eastAsia="en-US"/>
        </w:rPr>
        <w:t xml:space="preserve"> no financial cost or saving</w:t>
      </w:r>
      <w:r w:rsidR="00476874">
        <w:rPr>
          <w:rFonts w:eastAsia="Calibri"/>
          <w:lang w:eastAsia="en-US"/>
        </w:rPr>
        <w:t>. The impact on the claimant i</w:t>
      </w:r>
      <w:r w:rsidR="006B6A8D">
        <w:rPr>
          <w:rFonts w:eastAsia="Calibri"/>
          <w:lang w:eastAsia="en-US"/>
        </w:rPr>
        <w:t xml:space="preserve">s that their </w:t>
      </w:r>
      <w:r w:rsidR="00F438DB">
        <w:rPr>
          <w:rFonts w:eastAsia="Calibri"/>
          <w:lang w:eastAsia="en-US"/>
        </w:rPr>
        <w:t xml:space="preserve">CTR </w:t>
      </w:r>
      <w:r w:rsidR="006B6A8D">
        <w:rPr>
          <w:rFonts w:eastAsia="Calibri"/>
          <w:lang w:eastAsia="en-US"/>
        </w:rPr>
        <w:t xml:space="preserve">claim will be dealt with </w:t>
      </w:r>
      <w:r w:rsidR="00E70D87">
        <w:rPr>
          <w:rFonts w:eastAsia="Calibri"/>
          <w:lang w:eastAsia="en-US"/>
        </w:rPr>
        <w:t>sooner.</w:t>
      </w:r>
    </w:p>
    <w:p w:rsidR="00D834D5" w:rsidRPr="00876547" w:rsidRDefault="008F5FD1" w:rsidP="00B52D2C">
      <w:pPr>
        <w:pStyle w:val="ListParagraph"/>
        <w:numPr>
          <w:ilvl w:val="0"/>
          <w:numId w:val="43"/>
        </w:numPr>
        <w:rPr>
          <w:rFonts w:eastAsia="Calibri"/>
          <w:lang w:eastAsia="en-US"/>
        </w:rPr>
      </w:pPr>
      <w:r>
        <w:rPr>
          <w:rFonts w:eastAsia="Calibri"/>
          <w:lang w:eastAsia="en-US"/>
        </w:rPr>
        <w:t>W</w:t>
      </w:r>
      <w:r w:rsidR="00D834D5">
        <w:rPr>
          <w:rFonts w:eastAsia="Calibri"/>
          <w:lang w:eastAsia="en-US"/>
        </w:rPr>
        <w:t>hether or not to introduce a banded income ap</w:t>
      </w:r>
      <w:r>
        <w:rPr>
          <w:rFonts w:eastAsia="Calibri"/>
          <w:lang w:eastAsia="en-US"/>
        </w:rPr>
        <w:t>proach for working age claimants</w:t>
      </w:r>
      <w:r w:rsidR="0096134F">
        <w:rPr>
          <w:rFonts w:eastAsia="Calibri"/>
          <w:lang w:eastAsia="en-US"/>
        </w:rPr>
        <w:t>,</w:t>
      </w:r>
      <w:r>
        <w:rPr>
          <w:rFonts w:eastAsia="Calibri"/>
          <w:lang w:eastAsia="en-US"/>
        </w:rPr>
        <w:t xml:space="preserve"> in</w:t>
      </w:r>
      <w:r w:rsidR="00D834D5">
        <w:rPr>
          <w:rFonts w:eastAsia="Calibri"/>
          <w:lang w:eastAsia="en-US"/>
        </w:rPr>
        <w:t xml:space="preserve"> the same </w:t>
      </w:r>
      <w:r>
        <w:rPr>
          <w:rFonts w:eastAsia="Calibri"/>
          <w:lang w:eastAsia="en-US"/>
        </w:rPr>
        <w:t>way as</w:t>
      </w:r>
      <w:r w:rsidR="00D834D5">
        <w:rPr>
          <w:rFonts w:eastAsia="Calibri"/>
          <w:lang w:eastAsia="en-US"/>
        </w:rPr>
        <w:t xml:space="preserve"> UC claimants </w:t>
      </w:r>
      <w:r>
        <w:rPr>
          <w:rFonts w:eastAsia="Calibri"/>
          <w:lang w:eastAsia="en-US"/>
        </w:rPr>
        <w:t>are treated</w:t>
      </w:r>
      <w:r w:rsidR="00975E18">
        <w:rPr>
          <w:rFonts w:eastAsia="Calibri"/>
          <w:lang w:eastAsia="en-US"/>
        </w:rPr>
        <w:t>,</w:t>
      </w:r>
      <w:r>
        <w:rPr>
          <w:rFonts w:eastAsia="Calibri"/>
          <w:lang w:eastAsia="en-US"/>
        </w:rPr>
        <w:t xml:space="preserve"> </w:t>
      </w:r>
      <w:r w:rsidR="00D834D5">
        <w:rPr>
          <w:rFonts w:eastAsia="Calibri"/>
          <w:lang w:eastAsia="en-US"/>
        </w:rPr>
        <w:t>from 2021/22</w:t>
      </w:r>
      <w:r w:rsidR="00476874">
        <w:rPr>
          <w:rFonts w:eastAsia="Calibri"/>
          <w:lang w:eastAsia="en-US"/>
        </w:rPr>
        <w:t xml:space="preserve">. The impact on the </w:t>
      </w:r>
      <w:r w:rsidR="00AE65FF">
        <w:rPr>
          <w:rFonts w:eastAsia="Calibri"/>
          <w:lang w:eastAsia="en-US"/>
        </w:rPr>
        <w:t xml:space="preserve">CTR </w:t>
      </w:r>
      <w:r w:rsidR="00476874">
        <w:rPr>
          <w:rFonts w:eastAsia="Calibri"/>
          <w:lang w:eastAsia="en-US"/>
        </w:rPr>
        <w:t xml:space="preserve">claimant is </w:t>
      </w:r>
      <w:r w:rsidR="00FB5794">
        <w:rPr>
          <w:rFonts w:eastAsia="Calibri"/>
          <w:lang w:eastAsia="en-US"/>
        </w:rPr>
        <w:t xml:space="preserve">that </w:t>
      </w:r>
      <w:r w:rsidR="00FC778E">
        <w:rPr>
          <w:rFonts w:eastAsia="Calibri"/>
          <w:lang w:eastAsia="en-US"/>
        </w:rPr>
        <w:t>fewer changes</w:t>
      </w:r>
      <w:r>
        <w:rPr>
          <w:rFonts w:eastAsia="Calibri"/>
          <w:lang w:eastAsia="en-US"/>
        </w:rPr>
        <w:t xml:space="preserve"> will need to be reported to the Council</w:t>
      </w:r>
      <w:r w:rsidR="00FB5794">
        <w:rPr>
          <w:rFonts w:eastAsia="Calibri"/>
          <w:lang w:eastAsia="en-US"/>
        </w:rPr>
        <w:t xml:space="preserve"> </w:t>
      </w:r>
      <w:r w:rsidR="00085F96">
        <w:rPr>
          <w:rFonts w:eastAsia="Calibri"/>
          <w:lang w:eastAsia="en-US"/>
        </w:rPr>
        <w:t>for minor income changes</w:t>
      </w:r>
      <w:r w:rsidR="00975E18">
        <w:rPr>
          <w:rFonts w:eastAsia="Calibri"/>
          <w:lang w:eastAsia="en-US"/>
        </w:rPr>
        <w:t>,</w:t>
      </w:r>
      <w:r w:rsidR="00085F96">
        <w:rPr>
          <w:rFonts w:eastAsia="Calibri"/>
          <w:lang w:eastAsia="en-US"/>
        </w:rPr>
        <w:t xml:space="preserve"> </w:t>
      </w:r>
      <w:r>
        <w:rPr>
          <w:rFonts w:eastAsia="Calibri"/>
          <w:lang w:eastAsia="en-US"/>
        </w:rPr>
        <w:t>resulting in</w:t>
      </w:r>
      <w:r w:rsidR="00085F96">
        <w:rPr>
          <w:rFonts w:eastAsia="Calibri"/>
          <w:lang w:eastAsia="en-US"/>
        </w:rPr>
        <w:t xml:space="preserve"> less admi</w:t>
      </w:r>
      <w:r>
        <w:rPr>
          <w:rFonts w:eastAsia="Calibri"/>
          <w:lang w:eastAsia="en-US"/>
        </w:rPr>
        <w:t>nistration and more certainty for</w:t>
      </w:r>
      <w:r w:rsidR="00085F96">
        <w:rPr>
          <w:rFonts w:eastAsia="Calibri"/>
          <w:lang w:eastAsia="en-US"/>
        </w:rPr>
        <w:t xml:space="preserve"> claimants.</w:t>
      </w:r>
    </w:p>
    <w:p w:rsidR="008A4C91" w:rsidRDefault="00D61A5C" w:rsidP="00405A7F">
      <w:pPr>
        <w:pStyle w:val="ListParagraph"/>
        <w:spacing w:after="0"/>
        <w:ind w:left="360" w:hanging="360"/>
        <w:rPr>
          <w:rFonts w:cs="Arial"/>
          <w:color w:val="auto"/>
        </w:rPr>
      </w:pPr>
      <w:r w:rsidRPr="00405A7F">
        <w:rPr>
          <w:rFonts w:eastAsiaTheme="minorHAnsi" w:cs="Arial"/>
          <w:color w:val="auto"/>
          <w:lang w:eastAsia="en-US"/>
        </w:rPr>
        <w:t>The 2019/20 CTR scheme, which was approved on 22</w:t>
      </w:r>
      <w:r w:rsidR="0073217C">
        <w:rPr>
          <w:rFonts w:eastAsiaTheme="minorHAnsi" w:cs="Arial"/>
          <w:color w:val="auto"/>
          <w:vertAlign w:val="superscript"/>
          <w:lang w:eastAsia="en-US"/>
        </w:rPr>
        <w:t xml:space="preserve"> </w:t>
      </w:r>
      <w:r w:rsidRPr="00405A7F">
        <w:rPr>
          <w:rFonts w:eastAsiaTheme="minorHAnsi" w:cs="Arial"/>
          <w:color w:val="auto"/>
          <w:lang w:eastAsia="en-US"/>
        </w:rPr>
        <w:t>January 2019</w:t>
      </w:r>
      <w:r w:rsidR="00100EFE">
        <w:rPr>
          <w:rFonts w:eastAsiaTheme="minorHAnsi" w:cs="Arial"/>
          <w:color w:val="auto"/>
          <w:lang w:eastAsia="en-US"/>
        </w:rPr>
        <w:t>,</w:t>
      </w:r>
      <w:r w:rsidRPr="00405A7F">
        <w:rPr>
          <w:rFonts w:eastAsiaTheme="minorHAnsi" w:cs="Arial"/>
          <w:color w:val="auto"/>
          <w:lang w:eastAsia="en-US"/>
        </w:rPr>
        <w:t xml:space="preserve"> allows for </w:t>
      </w:r>
      <w:r w:rsidRPr="00405A7F">
        <w:rPr>
          <w:rFonts w:cs="Arial"/>
          <w:color w:val="auto"/>
        </w:rPr>
        <w:t xml:space="preserve">the income band scheme for residents on Universal Credit to be </w:t>
      </w:r>
      <w:proofErr w:type="spellStart"/>
      <w:r w:rsidRPr="00405A7F">
        <w:rPr>
          <w:rFonts w:cs="Arial"/>
          <w:color w:val="auto"/>
        </w:rPr>
        <w:t>uprated</w:t>
      </w:r>
      <w:proofErr w:type="spellEnd"/>
      <w:r w:rsidRPr="00405A7F">
        <w:rPr>
          <w:rFonts w:cs="Arial"/>
          <w:color w:val="auto"/>
        </w:rPr>
        <w:t xml:space="preserve"> annually in line with changes to the National Minimum Wage</w:t>
      </w:r>
      <w:r w:rsidR="00E41058">
        <w:rPr>
          <w:rFonts w:cs="Arial"/>
          <w:color w:val="auto"/>
        </w:rPr>
        <w:t xml:space="preserve"> </w:t>
      </w:r>
      <w:r w:rsidRPr="00405A7F">
        <w:rPr>
          <w:rFonts w:cs="Arial"/>
          <w:color w:val="auto"/>
        </w:rPr>
        <w:t xml:space="preserve">(NMW) and the Oxford Living Wage </w:t>
      </w:r>
      <w:r w:rsidR="00195416">
        <w:rPr>
          <w:rFonts w:cs="Arial"/>
          <w:color w:val="auto"/>
        </w:rPr>
        <w:t>(OLW), and that the benefit cap</w:t>
      </w:r>
      <w:r w:rsidRPr="00405A7F">
        <w:rPr>
          <w:rFonts w:cs="Arial"/>
          <w:color w:val="auto"/>
        </w:rPr>
        <w:t xml:space="preserve"> be uprated in line with inflation (based on the Retail Price Index figure for September 2018</w:t>
      </w:r>
      <w:r w:rsidR="00E41058">
        <w:rPr>
          <w:rFonts w:cs="Arial"/>
          <w:color w:val="auto"/>
        </w:rPr>
        <w:t>).</w:t>
      </w:r>
      <w:r w:rsidRPr="00405A7F">
        <w:rPr>
          <w:rFonts w:cs="Arial"/>
          <w:color w:val="auto"/>
        </w:rPr>
        <w:t xml:space="preserve"> </w:t>
      </w:r>
      <w:r w:rsidR="00C71A0C">
        <w:rPr>
          <w:rFonts w:cs="Arial"/>
          <w:color w:val="auto"/>
        </w:rPr>
        <w:t>Whilst it is not necessary to consult on this annually, it will be included in the consultation to check that it is still relevant.</w:t>
      </w:r>
    </w:p>
    <w:p w:rsidR="00094D96" w:rsidRDefault="00094D96" w:rsidP="00094D96">
      <w:pPr>
        <w:pStyle w:val="ListParagraph"/>
        <w:numPr>
          <w:ilvl w:val="0"/>
          <w:numId w:val="0"/>
        </w:numPr>
        <w:spacing w:after="0"/>
        <w:ind w:left="360"/>
        <w:rPr>
          <w:rFonts w:cs="Arial"/>
          <w:color w:val="auto"/>
        </w:rPr>
      </w:pPr>
    </w:p>
    <w:p w:rsidR="00094D96" w:rsidRPr="00B15B86" w:rsidRDefault="00C71A0C" w:rsidP="00094D96">
      <w:pPr>
        <w:pStyle w:val="ListParagraph"/>
        <w:spacing w:after="0"/>
        <w:ind w:left="360" w:hanging="360"/>
        <w:contextualSpacing/>
        <w:rPr>
          <w:rFonts w:eastAsiaTheme="minorHAnsi" w:cs="Arial"/>
          <w:color w:val="auto"/>
          <w:lang w:eastAsia="en-US"/>
        </w:rPr>
      </w:pPr>
      <w:r w:rsidRPr="00B15B86">
        <w:rPr>
          <w:rFonts w:eastAsiaTheme="minorHAnsi" w:cs="Arial"/>
          <w:color w:val="auto"/>
          <w:lang w:eastAsia="en-US"/>
        </w:rPr>
        <w:t>The</w:t>
      </w:r>
      <w:r w:rsidR="00094D96" w:rsidRPr="00B15B86">
        <w:rPr>
          <w:rFonts w:eastAsiaTheme="minorHAnsi" w:cs="Arial"/>
          <w:color w:val="auto"/>
          <w:lang w:eastAsia="en-US"/>
        </w:rPr>
        <w:t xml:space="preserve"> changes </w:t>
      </w:r>
      <w:r w:rsidRPr="00B15B86">
        <w:rPr>
          <w:rFonts w:eastAsiaTheme="minorHAnsi" w:cs="Arial"/>
          <w:color w:val="auto"/>
          <w:lang w:eastAsia="en-US"/>
        </w:rPr>
        <w:t xml:space="preserve">proposed </w:t>
      </w:r>
      <w:r w:rsidR="00094D96" w:rsidRPr="00B15B86">
        <w:rPr>
          <w:rFonts w:eastAsiaTheme="minorHAnsi" w:cs="Arial"/>
          <w:color w:val="auto"/>
          <w:lang w:eastAsia="en-US"/>
        </w:rPr>
        <w:t>would have no significant impact on the amount of support provided</w:t>
      </w:r>
      <w:r w:rsidR="00E41058" w:rsidRPr="00B15B86">
        <w:rPr>
          <w:rFonts w:eastAsiaTheme="minorHAnsi" w:cs="Arial"/>
          <w:color w:val="auto"/>
          <w:lang w:eastAsia="en-US"/>
        </w:rPr>
        <w:t xml:space="preserve"> by the Council</w:t>
      </w:r>
      <w:r w:rsidR="00094D96" w:rsidRPr="00B15B86">
        <w:rPr>
          <w:rFonts w:eastAsiaTheme="minorHAnsi" w:cs="Arial"/>
          <w:color w:val="auto"/>
          <w:lang w:eastAsia="en-US"/>
        </w:rPr>
        <w:t>, and will ensure that no-one has to pay more council tax as a result of receiving</w:t>
      </w:r>
      <w:r w:rsidRPr="00B15B86">
        <w:rPr>
          <w:rFonts w:eastAsiaTheme="minorHAnsi" w:cs="Arial"/>
          <w:color w:val="auto"/>
          <w:lang w:eastAsia="en-US"/>
        </w:rPr>
        <w:t xml:space="preserve"> a small pay rise. The </w:t>
      </w:r>
      <w:r w:rsidR="00094D96" w:rsidRPr="00B15B86">
        <w:rPr>
          <w:rFonts w:eastAsiaTheme="minorHAnsi" w:cs="Arial"/>
          <w:color w:val="auto"/>
          <w:lang w:eastAsia="en-US"/>
        </w:rPr>
        <w:t xml:space="preserve">income bandings </w:t>
      </w:r>
      <w:r w:rsidRPr="00B15B86">
        <w:rPr>
          <w:rFonts w:eastAsiaTheme="minorHAnsi" w:cs="Arial"/>
          <w:color w:val="auto"/>
          <w:lang w:eastAsia="en-US"/>
        </w:rPr>
        <w:t xml:space="preserve">currently being used and </w:t>
      </w:r>
      <w:r w:rsidR="00094D96" w:rsidRPr="00B15B86">
        <w:rPr>
          <w:rFonts w:eastAsiaTheme="minorHAnsi" w:cs="Arial"/>
          <w:color w:val="auto"/>
          <w:lang w:eastAsia="en-US"/>
        </w:rPr>
        <w:t>based on the methodology above are shown in Table 2 below. The figures have been calculated using the 2019 figures for the NMW and OLW which are £8.21 and £10.02 per hour respectively. The band 5 value has been uprated by 3.3% which is the RPI figure for September 2018.</w:t>
      </w:r>
      <w:r w:rsidRPr="00B15B86">
        <w:rPr>
          <w:rFonts w:eastAsiaTheme="minorHAnsi" w:cs="Arial"/>
          <w:color w:val="auto"/>
          <w:lang w:eastAsia="en-US"/>
        </w:rPr>
        <w:t xml:space="preserve"> </w:t>
      </w:r>
    </w:p>
    <w:p w:rsidR="00094D96" w:rsidRPr="00C71A0C" w:rsidRDefault="00094D96" w:rsidP="00094D96">
      <w:pPr>
        <w:pStyle w:val="ListParagraph"/>
        <w:numPr>
          <w:ilvl w:val="0"/>
          <w:numId w:val="0"/>
        </w:numPr>
        <w:spacing w:after="0"/>
        <w:ind w:left="720"/>
        <w:contextualSpacing/>
        <w:rPr>
          <w:rFonts w:eastAsiaTheme="minorHAnsi" w:cs="Arial"/>
          <w:color w:val="auto"/>
          <w:sz w:val="22"/>
          <w:szCs w:val="22"/>
          <w:lang w:eastAsia="en-US"/>
        </w:rPr>
      </w:pPr>
    </w:p>
    <w:p w:rsidR="00094D96" w:rsidRPr="00C71A0C" w:rsidRDefault="00094D96" w:rsidP="00094D96">
      <w:pPr>
        <w:pStyle w:val="ListParagraph"/>
        <w:numPr>
          <w:ilvl w:val="0"/>
          <w:numId w:val="0"/>
        </w:numPr>
        <w:spacing w:after="0"/>
        <w:ind w:left="720"/>
        <w:contextualSpacing/>
        <w:rPr>
          <w:rFonts w:eastAsiaTheme="minorHAnsi" w:cs="Arial"/>
          <w:color w:val="auto"/>
          <w:sz w:val="22"/>
          <w:szCs w:val="22"/>
          <w:lang w:eastAsia="en-US"/>
        </w:rPr>
      </w:pPr>
      <w:r w:rsidRPr="00C71A0C">
        <w:rPr>
          <w:rFonts w:eastAsiaTheme="minorHAnsi" w:cs="Arial"/>
          <w:color w:val="auto"/>
          <w:sz w:val="22"/>
          <w:szCs w:val="22"/>
          <w:lang w:eastAsia="en-US"/>
        </w:rPr>
        <w:t>Table 2</w:t>
      </w:r>
    </w:p>
    <w:tbl>
      <w:tblPr>
        <w:tblStyle w:val="TableGrid21"/>
        <w:tblW w:w="0" w:type="auto"/>
        <w:tblInd w:w="769" w:type="dxa"/>
        <w:tblLook w:val="04A0" w:firstRow="1" w:lastRow="0" w:firstColumn="1" w:lastColumn="0" w:noHBand="0" w:noVBand="1"/>
      </w:tblPr>
      <w:tblGrid>
        <w:gridCol w:w="1095"/>
        <w:gridCol w:w="3489"/>
        <w:gridCol w:w="3544"/>
      </w:tblGrid>
      <w:tr w:rsidR="00F946A1" w:rsidRPr="00C71A0C" w:rsidTr="00F946A1">
        <w:tc>
          <w:tcPr>
            <w:tcW w:w="1095" w:type="dxa"/>
          </w:tcPr>
          <w:p w:rsidR="00F946A1" w:rsidRPr="00C71A0C" w:rsidRDefault="00F946A1" w:rsidP="008262EC">
            <w:pPr>
              <w:spacing w:after="0"/>
              <w:rPr>
                <w:b/>
                <w:color w:val="auto"/>
                <w:sz w:val="22"/>
                <w:szCs w:val="22"/>
              </w:rPr>
            </w:pPr>
            <w:r w:rsidRPr="00C71A0C">
              <w:rPr>
                <w:b/>
                <w:color w:val="auto"/>
                <w:sz w:val="22"/>
                <w:szCs w:val="22"/>
              </w:rPr>
              <w:t>Band</w:t>
            </w:r>
          </w:p>
        </w:tc>
        <w:tc>
          <w:tcPr>
            <w:tcW w:w="3489" w:type="dxa"/>
          </w:tcPr>
          <w:p w:rsidR="00F946A1" w:rsidRPr="00C71A0C" w:rsidRDefault="00F946A1" w:rsidP="008262EC">
            <w:pPr>
              <w:spacing w:after="0"/>
              <w:rPr>
                <w:b/>
                <w:color w:val="auto"/>
                <w:sz w:val="22"/>
                <w:szCs w:val="22"/>
              </w:rPr>
            </w:pPr>
            <w:r w:rsidRPr="00C71A0C">
              <w:rPr>
                <w:b/>
                <w:color w:val="auto"/>
                <w:sz w:val="22"/>
                <w:szCs w:val="22"/>
              </w:rPr>
              <w:t>Weekly Income</w:t>
            </w:r>
          </w:p>
        </w:tc>
        <w:tc>
          <w:tcPr>
            <w:tcW w:w="3544" w:type="dxa"/>
          </w:tcPr>
          <w:p w:rsidR="00F946A1" w:rsidRPr="00C71A0C" w:rsidRDefault="00F946A1" w:rsidP="008262EC">
            <w:pPr>
              <w:spacing w:after="0"/>
              <w:rPr>
                <w:b/>
                <w:color w:val="auto"/>
                <w:sz w:val="22"/>
                <w:szCs w:val="22"/>
              </w:rPr>
            </w:pPr>
            <w:r w:rsidRPr="00C71A0C">
              <w:rPr>
                <w:b/>
                <w:color w:val="auto"/>
                <w:sz w:val="22"/>
                <w:szCs w:val="22"/>
              </w:rPr>
              <w:t>Discount received</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1</w:t>
            </w:r>
          </w:p>
        </w:tc>
        <w:tc>
          <w:tcPr>
            <w:tcW w:w="3489" w:type="dxa"/>
          </w:tcPr>
          <w:p w:rsidR="00F946A1" w:rsidRPr="00C71A0C" w:rsidRDefault="00F946A1" w:rsidP="008262EC">
            <w:pPr>
              <w:spacing w:after="0"/>
              <w:rPr>
                <w:color w:val="auto"/>
                <w:sz w:val="22"/>
                <w:szCs w:val="22"/>
              </w:rPr>
            </w:pPr>
            <w:r w:rsidRPr="00C71A0C">
              <w:rPr>
                <w:color w:val="auto"/>
                <w:sz w:val="22"/>
                <w:szCs w:val="22"/>
              </w:rPr>
              <w:t>£0 - £131.99</w:t>
            </w:r>
          </w:p>
        </w:tc>
        <w:tc>
          <w:tcPr>
            <w:tcW w:w="3544" w:type="dxa"/>
          </w:tcPr>
          <w:p w:rsidR="00F946A1" w:rsidRPr="00C71A0C" w:rsidRDefault="00F946A1" w:rsidP="008262EC">
            <w:pPr>
              <w:spacing w:after="0"/>
              <w:rPr>
                <w:color w:val="auto"/>
                <w:sz w:val="22"/>
                <w:szCs w:val="22"/>
              </w:rPr>
            </w:pPr>
            <w:r w:rsidRPr="00C71A0C">
              <w:rPr>
                <w:color w:val="auto"/>
                <w:sz w:val="22"/>
                <w:szCs w:val="22"/>
              </w:rPr>
              <w:t>100%</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2</w:t>
            </w:r>
          </w:p>
        </w:tc>
        <w:tc>
          <w:tcPr>
            <w:tcW w:w="3489" w:type="dxa"/>
          </w:tcPr>
          <w:p w:rsidR="00F946A1" w:rsidRPr="00C71A0C" w:rsidRDefault="00F946A1" w:rsidP="008262EC">
            <w:pPr>
              <w:spacing w:after="0"/>
              <w:rPr>
                <w:color w:val="auto"/>
                <w:sz w:val="22"/>
                <w:szCs w:val="22"/>
              </w:rPr>
            </w:pPr>
            <w:r w:rsidRPr="00C71A0C">
              <w:rPr>
                <w:color w:val="auto"/>
                <w:sz w:val="22"/>
                <w:szCs w:val="22"/>
              </w:rPr>
              <w:t>£132 - £197.99</w:t>
            </w:r>
          </w:p>
        </w:tc>
        <w:tc>
          <w:tcPr>
            <w:tcW w:w="3544" w:type="dxa"/>
          </w:tcPr>
          <w:p w:rsidR="00F946A1" w:rsidRPr="00C71A0C" w:rsidRDefault="00F946A1" w:rsidP="008262EC">
            <w:pPr>
              <w:spacing w:after="0"/>
              <w:rPr>
                <w:color w:val="auto"/>
                <w:sz w:val="22"/>
                <w:szCs w:val="22"/>
              </w:rPr>
            </w:pPr>
            <w:r w:rsidRPr="00C71A0C">
              <w:rPr>
                <w:color w:val="auto"/>
                <w:sz w:val="22"/>
                <w:szCs w:val="22"/>
              </w:rPr>
              <w:t>75%</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3</w:t>
            </w:r>
          </w:p>
        </w:tc>
        <w:tc>
          <w:tcPr>
            <w:tcW w:w="3489" w:type="dxa"/>
          </w:tcPr>
          <w:p w:rsidR="00F946A1" w:rsidRPr="00C71A0C" w:rsidRDefault="00F946A1" w:rsidP="008262EC">
            <w:pPr>
              <w:spacing w:after="0"/>
              <w:rPr>
                <w:color w:val="auto"/>
                <w:sz w:val="22"/>
                <w:szCs w:val="22"/>
              </w:rPr>
            </w:pPr>
            <w:r w:rsidRPr="00C71A0C">
              <w:rPr>
                <w:color w:val="auto"/>
                <w:sz w:val="22"/>
                <w:szCs w:val="22"/>
              </w:rPr>
              <w:t>£198 - £300.99</w:t>
            </w:r>
          </w:p>
        </w:tc>
        <w:tc>
          <w:tcPr>
            <w:tcW w:w="3544" w:type="dxa"/>
          </w:tcPr>
          <w:p w:rsidR="00F946A1" w:rsidRPr="00C71A0C" w:rsidRDefault="00F946A1" w:rsidP="008262EC">
            <w:pPr>
              <w:spacing w:after="0"/>
              <w:rPr>
                <w:color w:val="auto"/>
                <w:sz w:val="22"/>
                <w:szCs w:val="22"/>
              </w:rPr>
            </w:pPr>
            <w:r w:rsidRPr="00C71A0C">
              <w:rPr>
                <w:color w:val="auto"/>
                <w:sz w:val="22"/>
                <w:szCs w:val="22"/>
              </w:rPr>
              <w:t>50%</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4</w:t>
            </w:r>
          </w:p>
        </w:tc>
        <w:tc>
          <w:tcPr>
            <w:tcW w:w="3489" w:type="dxa"/>
          </w:tcPr>
          <w:p w:rsidR="00F946A1" w:rsidRPr="00C71A0C" w:rsidRDefault="00F946A1" w:rsidP="008262EC">
            <w:pPr>
              <w:spacing w:after="0"/>
              <w:rPr>
                <w:color w:val="auto"/>
                <w:sz w:val="22"/>
                <w:szCs w:val="22"/>
              </w:rPr>
            </w:pPr>
            <w:r w:rsidRPr="00C71A0C">
              <w:rPr>
                <w:color w:val="auto"/>
                <w:sz w:val="22"/>
                <w:szCs w:val="22"/>
              </w:rPr>
              <w:t>£301 - £397.99</w:t>
            </w:r>
          </w:p>
        </w:tc>
        <w:tc>
          <w:tcPr>
            <w:tcW w:w="3544" w:type="dxa"/>
          </w:tcPr>
          <w:p w:rsidR="00F946A1" w:rsidRPr="00C71A0C" w:rsidRDefault="00F946A1" w:rsidP="008262EC">
            <w:pPr>
              <w:spacing w:after="0"/>
              <w:rPr>
                <w:color w:val="auto"/>
                <w:sz w:val="22"/>
                <w:szCs w:val="22"/>
              </w:rPr>
            </w:pPr>
            <w:r w:rsidRPr="00C71A0C">
              <w:rPr>
                <w:color w:val="auto"/>
                <w:sz w:val="22"/>
                <w:szCs w:val="22"/>
              </w:rPr>
              <w:t>25%</w:t>
            </w:r>
          </w:p>
        </w:tc>
      </w:tr>
      <w:tr w:rsidR="00F946A1" w:rsidRPr="002C124B" w:rsidTr="00F946A1">
        <w:tc>
          <w:tcPr>
            <w:tcW w:w="1095" w:type="dxa"/>
          </w:tcPr>
          <w:p w:rsidR="00F946A1" w:rsidRPr="00C71A0C" w:rsidRDefault="00F946A1" w:rsidP="008262EC">
            <w:pPr>
              <w:spacing w:after="0"/>
              <w:rPr>
                <w:color w:val="auto"/>
                <w:sz w:val="22"/>
                <w:szCs w:val="22"/>
              </w:rPr>
            </w:pPr>
            <w:r w:rsidRPr="00C71A0C">
              <w:rPr>
                <w:color w:val="auto"/>
                <w:sz w:val="22"/>
                <w:szCs w:val="22"/>
              </w:rPr>
              <w:t>5</w:t>
            </w:r>
          </w:p>
        </w:tc>
        <w:tc>
          <w:tcPr>
            <w:tcW w:w="3489" w:type="dxa"/>
          </w:tcPr>
          <w:p w:rsidR="00F946A1" w:rsidRPr="00C71A0C" w:rsidRDefault="00F946A1" w:rsidP="008262EC">
            <w:pPr>
              <w:spacing w:after="0"/>
              <w:rPr>
                <w:color w:val="auto"/>
                <w:sz w:val="22"/>
                <w:szCs w:val="22"/>
              </w:rPr>
            </w:pPr>
            <w:r w:rsidRPr="00C71A0C">
              <w:rPr>
                <w:color w:val="auto"/>
                <w:sz w:val="22"/>
                <w:szCs w:val="22"/>
              </w:rPr>
              <w:t>£398</w:t>
            </w:r>
          </w:p>
        </w:tc>
        <w:tc>
          <w:tcPr>
            <w:tcW w:w="3544" w:type="dxa"/>
          </w:tcPr>
          <w:p w:rsidR="00F946A1" w:rsidRPr="002C124B" w:rsidRDefault="00F946A1" w:rsidP="008262EC">
            <w:pPr>
              <w:spacing w:after="0"/>
              <w:rPr>
                <w:color w:val="auto"/>
                <w:sz w:val="22"/>
                <w:szCs w:val="22"/>
              </w:rPr>
            </w:pPr>
            <w:r w:rsidRPr="00C71A0C">
              <w:rPr>
                <w:color w:val="auto"/>
                <w:sz w:val="22"/>
                <w:szCs w:val="22"/>
              </w:rPr>
              <w:t>0%</w:t>
            </w:r>
          </w:p>
        </w:tc>
      </w:tr>
    </w:tbl>
    <w:p w:rsidR="00094D96" w:rsidRDefault="00094D96" w:rsidP="00094D96">
      <w:pPr>
        <w:pStyle w:val="ListParagraph"/>
        <w:numPr>
          <w:ilvl w:val="0"/>
          <w:numId w:val="0"/>
        </w:numPr>
        <w:spacing w:after="0"/>
        <w:ind w:left="360"/>
        <w:rPr>
          <w:rFonts w:cs="Arial"/>
          <w:color w:val="auto"/>
        </w:rPr>
      </w:pPr>
    </w:p>
    <w:p w:rsidR="00C71A0C" w:rsidRPr="00405A7F" w:rsidRDefault="00C71A0C" w:rsidP="00094D96">
      <w:pPr>
        <w:pStyle w:val="ListParagraph"/>
        <w:numPr>
          <w:ilvl w:val="0"/>
          <w:numId w:val="0"/>
        </w:numPr>
        <w:spacing w:after="0"/>
        <w:ind w:left="360"/>
        <w:rPr>
          <w:rFonts w:cs="Arial"/>
          <w:color w:val="auto"/>
        </w:rPr>
      </w:pPr>
      <w:r>
        <w:rPr>
          <w:rFonts w:cs="Arial"/>
          <w:color w:val="auto"/>
        </w:rPr>
        <w:t>These figures will be uprated prior to the next Cabinet report in January 2020 once known.</w:t>
      </w:r>
    </w:p>
    <w:p w:rsidR="00405A7F" w:rsidRPr="00405A7F" w:rsidRDefault="00405A7F" w:rsidP="00405A7F">
      <w:pPr>
        <w:spacing w:after="0"/>
        <w:rPr>
          <w:rFonts w:eastAsiaTheme="minorHAnsi" w:cs="Arial"/>
          <w:color w:val="auto"/>
          <w:lang w:eastAsia="en-US"/>
        </w:rPr>
      </w:pPr>
    </w:p>
    <w:p w:rsidR="008A4C91" w:rsidRPr="00C71A0C" w:rsidRDefault="008A4C91" w:rsidP="00405A7F">
      <w:pPr>
        <w:pStyle w:val="ListParagraph"/>
        <w:ind w:left="360" w:hanging="360"/>
        <w:rPr>
          <w:rFonts w:eastAsiaTheme="minorHAnsi" w:cs="Arial"/>
          <w:color w:val="auto"/>
          <w:lang w:eastAsia="en-US"/>
        </w:rPr>
      </w:pPr>
      <w:r w:rsidRPr="00405A7F">
        <w:rPr>
          <w:rFonts w:eastAsiaTheme="minorHAnsi" w:cs="Arial"/>
          <w:color w:val="auto"/>
          <w:lang w:eastAsia="en-US"/>
        </w:rPr>
        <w:t>Consultation will be carried out using the Council’s online consultation system, and also making use of paper questionnaires. The consultation wil</w:t>
      </w:r>
      <w:r w:rsidR="00E41058">
        <w:rPr>
          <w:rFonts w:eastAsiaTheme="minorHAnsi" w:cs="Arial"/>
          <w:color w:val="auto"/>
          <w:lang w:eastAsia="en-US"/>
        </w:rPr>
        <w:t>l be promoted by the Council’s Communications T</w:t>
      </w:r>
      <w:r w:rsidRPr="00405A7F">
        <w:rPr>
          <w:rFonts w:eastAsiaTheme="minorHAnsi" w:cs="Arial"/>
          <w:color w:val="auto"/>
          <w:lang w:eastAsia="en-US"/>
        </w:rPr>
        <w:t>eam. Individuals subject to the</w:t>
      </w:r>
      <w:r w:rsidR="00E41058">
        <w:rPr>
          <w:rFonts w:eastAsiaTheme="minorHAnsi" w:cs="Arial"/>
          <w:color w:val="auto"/>
          <w:lang w:eastAsia="en-US"/>
        </w:rPr>
        <w:t xml:space="preserve"> current</w:t>
      </w:r>
      <w:r w:rsidRPr="00405A7F">
        <w:rPr>
          <w:rFonts w:eastAsiaTheme="minorHAnsi" w:cs="Arial"/>
          <w:color w:val="auto"/>
          <w:lang w:eastAsia="en-US"/>
        </w:rPr>
        <w:t xml:space="preserve"> income band scheme will also be written to, inviting them to participate in the consultation. The </w:t>
      </w:r>
      <w:r w:rsidRPr="00405A7F">
        <w:rPr>
          <w:rFonts w:eastAsiaTheme="minorHAnsi" w:cs="Arial"/>
          <w:color w:val="auto"/>
          <w:lang w:eastAsia="en-US"/>
        </w:rPr>
        <w:lastRenderedPageBreak/>
        <w:t xml:space="preserve">consultation will last for a </w:t>
      </w:r>
      <w:r w:rsidRPr="00C71A0C">
        <w:rPr>
          <w:rFonts w:eastAsiaTheme="minorHAnsi" w:cs="Arial"/>
          <w:color w:val="auto"/>
          <w:lang w:eastAsia="en-US"/>
        </w:rPr>
        <w:t>period of eight</w:t>
      </w:r>
      <w:r w:rsidRPr="00405A7F">
        <w:rPr>
          <w:rFonts w:eastAsiaTheme="minorHAnsi" w:cs="Arial"/>
          <w:color w:val="auto"/>
          <w:lang w:eastAsia="en-US"/>
        </w:rPr>
        <w:t xml:space="preserve"> weeks </w:t>
      </w:r>
      <w:r w:rsidRPr="00332304">
        <w:rPr>
          <w:rFonts w:eastAsiaTheme="minorHAnsi" w:cs="Arial"/>
          <w:color w:val="auto"/>
          <w:lang w:eastAsia="en-US"/>
        </w:rPr>
        <w:t xml:space="preserve">beginning on </w:t>
      </w:r>
      <w:r w:rsidR="00332304" w:rsidRPr="00332304">
        <w:rPr>
          <w:rFonts w:eastAsiaTheme="minorHAnsi" w:cs="Arial"/>
          <w:color w:val="auto"/>
          <w:lang w:eastAsia="en-US"/>
        </w:rPr>
        <w:t>23</w:t>
      </w:r>
      <w:r w:rsidRPr="00332304">
        <w:rPr>
          <w:rFonts w:eastAsiaTheme="minorHAnsi" w:cs="Arial"/>
          <w:color w:val="auto"/>
          <w:lang w:eastAsia="en-US"/>
        </w:rPr>
        <w:t xml:space="preserve"> September 201</w:t>
      </w:r>
      <w:r w:rsidR="00332304" w:rsidRPr="00332304">
        <w:rPr>
          <w:rFonts w:eastAsiaTheme="minorHAnsi" w:cs="Arial"/>
          <w:color w:val="auto"/>
          <w:lang w:eastAsia="en-US"/>
        </w:rPr>
        <w:t>9.</w:t>
      </w:r>
      <w:r w:rsidRPr="00C71A0C">
        <w:rPr>
          <w:rFonts w:eastAsiaTheme="minorHAnsi" w:cs="Arial"/>
          <w:color w:val="auto"/>
          <w:lang w:eastAsia="en-US"/>
        </w:rPr>
        <w:t xml:space="preserve">The proposed consultation document is included </w:t>
      </w:r>
      <w:r w:rsidRPr="002549B1">
        <w:rPr>
          <w:rFonts w:eastAsiaTheme="minorHAnsi" w:cs="Arial"/>
          <w:color w:val="auto"/>
          <w:lang w:eastAsia="en-US"/>
        </w:rPr>
        <w:t xml:space="preserve">at </w:t>
      </w:r>
      <w:r w:rsidR="002549B1" w:rsidRPr="002549B1">
        <w:rPr>
          <w:rFonts w:eastAsiaTheme="minorHAnsi" w:cs="Arial"/>
          <w:color w:val="auto"/>
          <w:lang w:eastAsia="en-US"/>
        </w:rPr>
        <w:t>Appendix 1</w:t>
      </w:r>
      <w:r w:rsidRPr="002549B1">
        <w:rPr>
          <w:rFonts w:eastAsiaTheme="minorHAnsi" w:cs="Arial"/>
          <w:color w:val="auto"/>
          <w:lang w:eastAsia="en-US"/>
        </w:rPr>
        <w:t>.</w:t>
      </w:r>
    </w:p>
    <w:p w:rsidR="008A4C91" w:rsidRPr="006A5290" w:rsidRDefault="008A4C91" w:rsidP="006A5290">
      <w:pPr>
        <w:rPr>
          <w:rFonts w:eastAsiaTheme="minorHAnsi" w:cs="Arial"/>
          <w:b/>
          <w:color w:val="auto"/>
          <w:lang w:eastAsia="en-US"/>
        </w:rPr>
      </w:pPr>
      <w:r w:rsidRPr="001F3309">
        <w:rPr>
          <w:rFonts w:eastAsiaTheme="minorHAnsi" w:cs="Arial"/>
          <w:b/>
          <w:color w:val="auto"/>
          <w:lang w:eastAsia="en-US"/>
        </w:rPr>
        <w:t>Discretionary support</w:t>
      </w:r>
    </w:p>
    <w:p w:rsidR="008A4C91" w:rsidRDefault="00100EFE" w:rsidP="008A4C91">
      <w:pPr>
        <w:pStyle w:val="ListParagraph"/>
        <w:rPr>
          <w:rFonts w:eastAsia="Calibri"/>
          <w:lang w:eastAsia="en-US"/>
        </w:rPr>
      </w:pPr>
      <w:r>
        <w:rPr>
          <w:rFonts w:eastAsia="Calibri"/>
          <w:lang w:eastAsia="en-US"/>
        </w:rPr>
        <w:t xml:space="preserve">The </w:t>
      </w:r>
      <w:r w:rsidR="008A4C91" w:rsidRPr="008A4C91">
        <w:rPr>
          <w:rFonts w:eastAsia="Calibri"/>
          <w:lang w:eastAsia="en-US"/>
        </w:rPr>
        <w:t xml:space="preserve">Council Tax Regulations make provision for discretionary support to be made available on application by a customer who is facing difficulty paying their Council Tax. </w:t>
      </w:r>
    </w:p>
    <w:p w:rsidR="008A4C91" w:rsidRPr="00934196" w:rsidRDefault="008A4C91" w:rsidP="008A4C91">
      <w:pPr>
        <w:pStyle w:val="Heading1"/>
        <w:rPr>
          <w:rFonts w:cs="Arial"/>
        </w:rPr>
      </w:pPr>
      <w:r w:rsidRPr="00934196">
        <w:rPr>
          <w:rFonts w:cs="Arial"/>
        </w:rPr>
        <w:t>Financial implications</w:t>
      </w:r>
    </w:p>
    <w:p w:rsidR="008A4C91" w:rsidRPr="00934196" w:rsidRDefault="008A4C91" w:rsidP="008A4C91">
      <w:pPr>
        <w:pStyle w:val="ListParagraph"/>
        <w:rPr>
          <w:b/>
        </w:rPr>
      </w:pPr>
      <w:r w:rsidRPr="0025033A">
        <w:t>The current cost of the CTR scheme has been factored into the Council’s Medium Term Financial Plan with the Council bearing the full cost of its share</w:t>
      </w:r>
      <w:r w:rsidR="00476874">
        <w:t xml:space="preserve"> estimated at £1.7 million for 2019-20 from council tax income foregone</w:t>
      </w:r>
      <w:r w:rsidR="008C6845">
        <w:t>.</w:t>
      </w:r>
      <w:r>
        <w:t xml:space="preserve"> T</w:t>
      </w:r>
      <w:r w:rsidR="0025033A">
        <w:t xml:space="preserve">he cost of the scheme </w:t>
      </w:r>
      <w:r w:rsidR="006A5290">
        <w:t xml:space="preserve">is likely to </w:t>
      </w:r>
      <w:r w:rsidRPr="00934196">
        <w:t xml:space="preserve">increase year on year as a consequence of </w:t>
      </w:r>
      <w:r>
        <w:t xml:space="preserve">any future </w:t>
      </w:r>
      <w:r w:rsidR="00F15B44">
        <w:t>increases in the C</w:t>
      </w:r>
      <w:r w:rsidRPr="00934196">
        <w:t xml:space="preserve">ouncil </w:t>
      </w:r>
      <w:r w:rsidR="00F15B44">
        <w:t>T</w:t>
      </w:r>
      <w:r w:rsidRPr="00934196">
        <w:t>ax</w:t>
      </w:r>
      <w:r w:rsidR="00F15B44">
        <w:t xml:space="preserve"> charge</w:t>
      </w:r>
      <w:r>
        <w:t xml:space="preserve">. </w:t>
      </w:r>
    </w:p>
    <w:p w:rsidR="008A4C91" w:rsidRPr="00934196" w:rsidRDefault="00C743D5" w:rsidP="008A4C91">
      <w:pPr>
        <w:pStyle w:val="ListParagraph"/>
        <w:ind w:left="360" w:hanging="360"/>
        <w:rPr>
          <w:rFonts w:cs="Arial"/>
        </w:rPr>
      </w:pPr>
      <w:r>
        <w:rPr>
          <w:rFonts w:cs="Arial"/>
        </w:rPr>
        <w:t xml:space="preserve">As </w:t>
      </w:r>
      <w:r w:rsidR="008A4C91">
        <w:rPr>
          <w:rFonts w:cs="Arial"/>
        </w:rPr>
        <w:t xml:space="preserve">Oxfordshire </w:t>
      </w:r>
      <w:r w:rsidR="008A4C91" w:rsidRPr="00934196">
        <w:rPr>
          <w:rFonts w:cs="Arial"/>
        </w:rPr>
        <w:t xml:space="preserve">County Council </w:t>
      </w:r>
      <w:r w:rsidR="008A4C91">
        <w:rPr>
          <w:rFonts w:cs="Arial"/>
        </w:rPr>
        <w:t>is</w:t>
      </w:r>
      <w:r w:rsidR="008A4C91" w:rsidRPr="00934196">
        <w:rPr>
          <w:rFonts w:cs="Arial"/>
        </w:rPr>
        <w:t xml:space="preserve"> the principal precepting authority, it is difficult for Oxford City Council to make significant savings in its cost of support, i.e. to save £1 an additional £6 must be raised.</w:t>
      </w:r>
      <w:r w:rsidR="008A4C91">
        <w:rPr>
          <w:rFonts w:cs="Arial"/>
        </w:rPr>
        <w:t xml:space="preserve"> Although there are no savings proposed from the CTR scheme this year, reductions in support will be considered each year in light of the Council’s overall financial position.</w:t>
      </w:r>
    </w:p>
    <w:p w:rsidR="008A4C91" w:rsidRPr="00934196" w:rsidRDefault="008A4C91" w:rsidP="00420E58">
      <w:pPr>
        <w:pStyle w:val="Heading1"/>
        <w:rPr>
          <w:rFonts w:cs="Arial"/>
        </w:rPr>
      </w:pPr>
      <w:r w:rsidRPr="00934196">
        <w:rPr>
          <w:rFonts w:cs="Arial"/>
        </w:rPr>
        <w:t>Legal issues</w:t>
      </w:r>
    </w:p>
    <w:p w:rsidR="008A4C91" w:rsidRPr="00934196" w:rsidRDefault="008A4C91" w:rsidP="008A4C91">
      <w:pPr>
        <w:pStyle w:val="ListParagraph"/>
        <w:rPr>
          <w:rFonts w:cs="Arial"/>
          <w:b/>
        </w:rPr>
      </w:pPr>
      <w:r w:rsidRPr="00934196">
        <w:rPr>
          <w:rFonts w:cs="Arial"/>
        </w:rPr>
        <w:t>In considering changes to the CTR scheme, the Council must take into account the provisions of The Council Tax Reduction Schemes (Prescribed Requirements) (England) 2012 and subsequent amendments.</w:t>
      </w:r>
    </w:p>
    <w:p w:rsidR="008A4C91" w:rsidRPr="00DA6C95" w:rsidRDefault="008A4C91" w:rsidP="008A4C91">
      <w:pPr>
        <w:pStyle w:val="ListParagraph"/>
        <w:rPr>
          <w:rFonts w:cs="Arial"/>
          <w:b/>
        </w:rPr>
      </w:pPr>
      <w:r w:rsidRPr="00934196">
        <w:rPr>
          <w:rFonts w:cs="Arial"/>
        </w:rPr>
        <w:t>Since the introduction of CTR schemes, there have been a number of legal challenges against</w:t>
      </w:r>
      <w:r>
        <w:rPr>
          <w:rFonts w:cs="Arial"/>
        </w:rPr>
        <w:t xml:space="preserve"> other</w:t>
      </w:r>
      <w:r w:rsidRPr="00934196">
        <w:rPr>
          <w:rFonts w:cs="Arial"/>
        </w:rPr>
        <w:t xml:space="preserve"> local schemes. Most of these challenges have been in relation to the consultation undertaken and have questioned whether due regard was given to </w:t>
      </w:r>
      <w:r>
        <w:rPr>
          <w:rFonts w:cs="Arial"/>
        </w:rPr>
        <w:t>any</w:t>
      </w:r>
      <w:r w:rsidRPr="00934196">
        <w:rPr>
          <w:rFonts w:cs="Arial"/>
        </w:rPr>
        <w:t xml:space="preserve"> equality impact assessment when changes were made to schemes. A Supreme Court ruling in 2014 </w:t>
      </w:r>
      <w:r>
        <w:rPr>
          <w:rFonts w:cs="Arial"/>
        </w:rPr>
        <w:t>(</w:t>
      </w:r>
      <w:r w:rsidRPr="00934196">
        <w:rPr>
          <w:rFonts w:cs="Arial"/>
        </w:rPr>
        <w:t xml:space="preserve"> R (Moseley) v London Borough of Haringey</w:t>
      </w:r>
      <w:r>
        <w:rPr>
          <w:rFonts w:cs="Arial"/>
        </w:rPr>
        <w:t>)</w:t>
      </w:r>
      <w:r w:rsidRPr="00934196">
        <w:rPr>
          <w:rFonts w:cs="Arial"/>
        </w:rPr>
        <w:t xml:space="preserve"> has </w:t>
      </w:r>
      <w:r>
        <w:rPr>
          <w:rFonts w:cs="Arial"/>
        </w:rPr>
        <w:t xml:space="preserve">determined </w:t>
      </w:r>
      <w:r w:rsidRPr="00934196">
        <w:rPr>
          <w:rFonts w:cs="Arial"/>
        </w:rPr>
        <w:t xml:space="preserve">that consultation on changes to </w:t>
      </w:r>
      <w:r>
        <w:rPr>
          <w:rFonts w:cs="Arial"/>
        </w:rPr>
        <w:t>c</w:t>
      </w:r>
      <w:r w:rsidRPr="00934196">
        <w:rPr>
          <w:rFonts w:cs="Arial"/>
        </w:rPr>
        <w:t xml:space="preserve">ouncil </w:t>
      </w:r>
      <w:r>
        <w:rPr>
          <w:rFonts w:cs="Arial"/>
        </w:rPr>
        <w:t>t</w:t>
      </w:r>
      <w:r w:rsidRPr="00934196">
        <w:rPr>
          <w:rFonts w:cs="Arial"/>
        </w:rPr>
        <w:t xml:space="preserve">ax </w:t>
      </w:r>
      <w:r>
        <w:rPr>
          <w:rFonts w:cs="Arial"/>
        </w:rPr>
        <w:t>r</w:t>
      </w:r>
      <w:r w:rsidRPr="00934196">
        <w:rPr>
          <w:rFonts w:cs="Arial"/>
        </w:rPr>
        <w:t xml:space="preserve">eduction </w:t>
      </w:r>
      <w:r w:rsidRPr="00C71A0C">
        <w:rPr>
          <w:rFonts w:cs="Arial"/>
        </w:rPr>
        <w:t xml:space="preserve">schemes must also include an option for any current scheme to be retained on the same level of funding with a consequent reduction in funding for other </w:t>
      </w:r>
      <w:r w:rsidRPr="00DA6C95">
        <w:rPr>
          <w:rFonts w:cs="Arial"/>
        </w:rPr>
        <w:t xml:space="preserve">services.  </w:t>
      </w:r>
      <w:r w:rsidR="00EE138B">
        <w:rPr>
          <w:rFonts w:cs="Arial"/>
        </w:rPr>
        <w:t>T</w:t>
      </w:r>
      <w:r w:rsidRPr="00DA6C95">
        <w:rPr>
          <w:rFonts w:cs="Arial"/>
        </w:rPr>
        <w:t>here are questions in the consultation paper on these options.</w:t>
      </w:r>
    </w:p>
    <w:p w:rsidR="008A4C91" w:rsidRPr="00934196" w:rsidRDefault="008A4C91" w:rsidP="00420E58">
      <w:pPr>
        <w:pStyle w:val="Heading1"/>
        <w:rPr>
          <w:rFonts w:cs="Arial"/>
        </w:rPr>
      </w:pPr>
      <w:r w:rsidRPr="00934196">
        <w:rPr>
          <w:rFonts w:cs="Arial"/>
        </w:rPr>
        <w:t>Level of risk</w:t>
      </w:r>
    </w:p>
    <w:p w:rsidR="008A4C91" w:rsidRPr="00934196" w:rsidRDefault="008A4C91" w:rsidP="008A4C91">
      <w:pPr>
        <w:pStyle w:val="ListParagraph"/>
        <w:ind w:left="360" w:hanging="360"/>
        <w:rPr>
          <w:rFonts w:cs="Arial"/>
        </w:rPr>
      </w:pPr>
      <w:r w:rsidRPr="006A5290">
        <w:rPr>
          <w:rFonts w:cs="Arial"/>
        </w:rPr>
        <w:t>A risk regist</w:t>
      </w:r>
      <w:r w:rsidR="00C71A0C">
        <w:rPr>
          <w:rFonts w:cs="Arial"/>
        </w:rPr>
        <w:t>e</w:t>
      </w:r>
      <w:r w:rsidR="00DA6C95">
        <w:rPr>
          <w:rFonts w:cs="Arial"/>
        </w:rPr>
        <w:t>r is attached at Appendix 2</w:t>
      </w:r>
      <w:r w:rsidRPr="006A5290">
        <w:rPr>
          <w:rFonts w:cs="Arial"/>
        </w:rPr>
        <w:t>.</w:t>
      </w:r>
      <w:r w:rsidRPr="00934196">
        <w:rPr>
          <w:rFonts w:cs="Arial"/>
        </w:rPr>
        <w:t xml:space="preserve"> The identified risks relate to the undertaking of consultation, rather than the changes to the CTR scheme. </w:t>
      </w:r>
    </w:p>
    <w:p w:rsidR="008A4C91" w:rsidRPr="006A5290" w:rsidRDefault="008A4C91" w:rsidP="008A4C91">
      <w:pPr>
        <w:pStyle w:val="Heading1"/>
        <w:ind w:left="720"/>
        <w:rPr>
          <w:rFonts w:cs="Arial"/>
        </w:rPr>
      </w:pPr>
      <w:r w:rsidRPr="006A5290">
        <w:rPr>
          <w:rFonts w:cs="Arial"/>
        </w:rPr>
        <w:t xml:space="preserve">Equalities impact </w:t>
      </w:r>
    </w:p>
    <w:p w:rsidR="00C743D5" w:rsidRDefault="008A4C91" w:rsidP="00C743D5">
      <w:pPr>
        <w:pStyle w:val="ListParagraph"/>
        <w:ind w:left="360" w:hanging="360"/>
        <w:rPr>
          <w:rFonts w:cs="Arial"/>
        </w:rPr>
      </w:pPr>
      <w:r w:rsidRPr="006A5290">
        <w:rPr>
          <w:rFonts w:cs="Arial"/>
        </w:rPr>
        <w:t>An Initial Equalities Impact Assessm</w:t>
      </w:r>
      <w:r w:rsidR="00C71A0C">
        <w:rPr>
          <w:rFonts w:cs="Arial"/>
        </w:rPr>
        <w:t>e</w:t>
      </w:r>
      <w:r w:rsidR="00DA6C95">
        <w:rPr>
          <w:rFonts w:cs="Arial"/>
        </w:rPr>
        <w:t>nt is attached at Appendix 3</w:t>
      </w:r>
      <w:r w:rsidRPr="006A5290">
        <w:rPr>
          <w:rFonts w:cs="Arial"/>
        </w:rPr>
        <w:t xml:space="preserve">. </w:t>
      </w:r>
    </w:p>
    <w:p w:rsidR="001E1A0D" w:rsidRDefault="001E1A0D" w:rsidP="001E1A0D">
      <w:pPr>
        <w:rPr>
          <w:rFonts w:cs="Arial"/>
        </w:rPr>
      </w:pPr>
    </w:p>
    <w:p w:rsidR="001E1A0D" w:rsidRPr="001E1A0D" w:rsidRDefault="001E1A0D" w:rsidP="001E1A0D">
      <w:pPr>
        <w:rPr>
          <w:rFonts w:cs="Arial"/>
        </w:rPr>
      </w:pPr>
    </w:p>
    <w:p w:rsidR="00C743D5" w:rsidRDefault="00C743D5" w:rsidP="00A74981">
      <w:pPr>
        <w:rPr>
          <w:rFonts w:cs="Arial"/>
        </w:rPr>
      </w:pPr>
    </w:p>
    <w:p w:rsidR="008C6845" w:rsidRPr="00A74981" w:rsidRDefault="008C6845" w:rsidP="00A74981">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20E58" w:rsidP="00A46E98">
            <w:r>
              <w:t>Tanya Bandekar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20E58"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lastRenderedPageBreak/>
              <w:t>Service area or department</w:t>
            </w:r>
          </w:p>
        </w:tc>
        <w:tc>
          <w:tcPr>
            <w:tcW w:w="4962" w:type="dxa"/>
            <w:tcBorders>
              <w:top w:val="nil"/>
              <w:left w:val="nil"/>
              <w:bottom w:val="nil"/>
              <w:right w:val="single" w:sz="8" w:space="0" w:color="000000"/>
            </w:tcBorders>
            <w:shd w:val="clear" w:color="auto" w:fill="auto"/>
          </w:tcPr>
          <w:p w:rsidR="00E87F7A" w:rsidRPr="001356F1" w:rsidRDefault="00420E58"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20E58" w:rsidP="00A46E98">
            <w:r>
              <w:t>01865 252281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20E58" w:rsidP="00A46E98">
            <w:pPr>
              <w:rPr>
                <w:rStyle w:val="Hyperlink"/>
                <w:color w:val="000000"/>
              </w:rPr>
            </w:pPr>
            <w:r>
              <w:rPr>
                <w:rStyle w:val="Hyperlink"/>
                <w:color w:val="000000"/>
              </w:rPr>
              <w:t>tbandekar@oxford.gov.uk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48" w:rsidRDefault="001E3948" w:rsidP="004A6D2F">
      <w:r>
        <w:separator/>
      </w:r>
    </w:p>
  </w:endnote>
  <w:endnote w:type="continuationSeparator" w:id="0">
    <w:p w:rsidR="001E3948" w:rsidRDefault="001E39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48" w:rsidRDefault="001E3948" w:rsidP="004A6D2F">
      <w:r>
        <w:separator/>
      </w:r>
    </w:p>
  </w:footnote>
  <w:footnote w:type="continuationSeparator" w:id="0">
    <w:p w:rsidR="001E3948" w:rsidRDefault="001E39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22857" w:rsidP="00D5547E">
    <w:pPr>
      <w:pStyle w:val="Header"/>
      <w:jc w:val="right"/>
    </w:pPr>
    <w:r>
      <w:rPr>
        <w:noProof/>
      </w:rPr>
      <w:drawing>
        <wp:inline distT="0" distB="0" distL="0" distR="0" wp14:anchorId="05CF403E" wp14:editId="7AE047D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152F96"/>
    <w:multiLevelType w:val="hybridMultilevel"/>
    <w:tmpl w:val="96D87A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07EEC"/>
    <w:multiLevelType w:val="hybridMultilevel"/>
    <w:tmpl w:val="E0BE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7D5DB4"/>
    <w:multiLevelType w:val="hybridMultilevel"/>
    <w:tmpl w:val="07FEDC3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8365C6"/>
    <w:multiLevelType w:val="multilevel"/>
    <w:tmpl w:val="E67CE66C"/>
    <w:numStyleLink w:val="StyleNumberedLeft0cmHanging075cm"/>
  </w:abstractNum>
  <w:num w:numId="1">
    <w:abstractNumId w:val="32"/>
  </w:num>
  <w:num w:numId="2">
    <w:abstractNumId w:val="38"/>
  </w:num>
  <w:num w:numId="3">
    <w:abstractNumId w:val="27"/>
  </w:num>
  <w:num w:numId="4">
    <w:abstractNumId w:val="22"/>
  </w:num>
  <w:num w:numId="5">
    <w:abstractNumId w:val="34"/>
  </w:num>
  <w:num w:numId="6">
    <w:abstractNumId w:val="40"/>
  </w:num>
  <w:num w:numId="7">
    <w:abstractNumId w:val="26"/>
  </w:num>
  <w:num w:numId="8">
    <w:abstractNumId w:val="24"/>
  </w:num>
  <w:num w:numId="9">
    <w:abstractNumId w:val="13"/>
  </w:num>
  <w:num w:numId="10">
    <w:abstractNumId w:val="17"/>
  </w:num>
  <w:num w:numId="11">
    <w:abstractNumId w:val="30"/>
  </w:num>
  <w:num w:numId="12">
    <w:abstractNumId w:val="28"/>
  </w:num>
  <w:num w:numId="13">
    <w:abstractNumId w:val="10"/>
  </w:num>
  <w:num w:numId="14">
    <w:abstractNumId w:val="41"/>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3"/>
  </w:num>
  <w:num w:numId="18">
    <w:abstractNumId w:val="12"/>
  </w:num>
  <w:num w:numId="19">
    <w:abstractNumId w:val="36"/>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21"/>
  </w:num>
  <w:num w:numId="36">
    <w:abstractNumId w:val="16"/>
  </w:num>
  <w:num w:numId="37">
    <w:abstractNumId w:val="23"/>
  </w:num>
  <w:num w:numId="38">
    <w:abstractNumId w:val="18"/>
  </w:num>
  <w:num w:numId="39">
    <w:abstractNumId w:val="15"/>
  </w:num>
  <w:num w:numId="40">
    <w:abstractNumId w:val="31"/>
  </w:num>
  <w:num w:numId="41">
    <w:abstractNumId w:val="41"/>
  </w:num>
  <w:num w:numId="42">
    <w:abstractNumId w:val="35"/>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57"/>
    <w:rsid w:val="000117D4"/>
    <w:rsid w:val="000314D7"/>
    <w:rsid w:val="000418C4"/>
    <w:rsid w:val="00045F8B"/>
    <w:rsid w:val="00046D2B"/>
    <w:rsid w:val="00056263"/>
    <w:rsid w:val="00064D8A"/>
    <w:rsid w:val="00064F82"/>
    <w:rsid w:val="00066510"/>
    <w:rsid w:val="00073F4E"/>
    <w:rsid w:val="000766CF"/>
    <w:rsid w:val="00077523"/>
    <w:rsid w:val="00085F96"/>
    <w:rsid w:val="00094D96"/>
    <w:rsid w:val="000C089F"/>
    <w:rsid w:val="000C3928"/>
    <w:rsid w:val="000C5E8E"/>
    <w:rsid w:val="000F4751"/>
    <w:rsid w:val="00100EFE"/>
    <w:rsid w:val="0010524C"/>
    <w:rsid w:val="00111FB1"/>
    <w:rsid w:val="00113418"/>
    <w:rsid w:val="001151E5"/>
    <w:rsid w:val="001356F1"/>
    <w:rsid w:val="00136994"/>
    <w:rsid w:val="0014128E"/>
    <w:rsid w:val="00151888"/>
    <w:rsid w:val="0016610B"/>
    <w:rsid w:val="00170A2D"/>
    <w:rsid w:val="001752AD"/>
    <w:rsid w:val="001808BC"/>
    <w:rsid w:val="00182B81"/>
    <w:rsid w:val="0018619D"/>
    <w:rsid w:val="00195416"/>
    <w:rsid w:val="001A011E"/>
    <w:rsid w:val="001A066A"/>
    <w:rsid w:val="001A13E6"/>
    <w:rsid w:val="001A5731"/>
    <w:rsid w:val="001B42C3"/>
    <w:rsid w:val="001C21AD"/>
    <w:rsid w:val="001C4A1A"/>
    <w:rsid w:val="001C5D5E"/>
    <w:rsid w:val="001D678D"/>
    <w:rsid w:val="001E003A"/>
    <w:rsid w:val="001E03F8"/>
    <w:rsid w:val="001E1678"/>
    <w:rsid w:val="001E1A0D"/>
    <w:rsid w:val="001E2064"/>
    <w:rsid w:val="001E3376"/>
    <w:rsid w:val="001E3948"/>
    <w:rsid w:val="001F62D0"/>
    <w:rsid w:val="002069B3"/>
    <w:rsid w:val="002329CF"/>
    <w:rsid w:val="00232F5B"/>
    <w:rsid w:val="00234F11"/>
    <w:rsid w:val="00247C29"/>
    <w:rsid w:val="0025033A"/>
    <w:rsid w:val="002549B1"/>
    <w:rsid w:val="00260467"/>
    <w:rsid w:val="00263EA3"/>
    <w:rsid w:val="00284F85"/>
    <w:rsid w:val="00290915"/>
    <w:rsid w:val="002A22E2"/>
    <w:rsid w:val="002C64F7"/>
    <w:rsid w:val="002F41F2"/>
    <w:rsid w:val="00301BF3"/>
    <w:rsid w:val="0030208D"/>
    <w:rsid w:val="00323418"/>
    <w:rsid w:val="00332304"/>
    <w:rsid w:val="003357BF"/>
    <w:rsid w:val="00364FAD"/>
    <w:rsid w:val="0036738F"/>
    <w:rsid w:val="0036759C"/>
    <w:rsid w:val="00367AE5"/>
    <w:rsid w:val="00367D71"/>
    <w:rsid w:val="00376AEE"/>
    <w:rsid w:val="0038150A"/>
    <w:rsid w:val="003B6E75"/>
    <w:rsid w:val="003B7DA1"/>
    <w:rsid w:val="003D0379"/>
    <w:rsid w:val="003D2574"/>
    <w:rsid w:val="003D4C59"/>
    <w:rsid w:val="003F4267"/>
    <w:rsid w:val="00400513"/>
    <w:rsid w:val="00404032"/>
    <w:rsid w:val="00405A7F"/>
    <w:rsid w:val="0040736F"/>
    <w:rsid w:val="00410668"/>
    <w:rsid w:val="00412C1F"/>
    <w:rsid w:val="00420E58"/>
    <w:rsid w:val="00421CB2"/>
    <w:rsid w:val="004268B9"/>
    <w:rsid w:val="00433B96"/>
    <w:rsid w:val="004440F1"/>
    <w:rsid w:val="004456DD"/>
    <w:rsid w:val="00446CDF"/>
    <w:rsid w:val="004521B7"/>
    <w:rsid w:val="00462AB5"/>
    <w:rsid w:val="00465EAF"/>
    <w:rsid w:val="004738C5"/>
    <w:rsid w:val="00476874"/>
    <w:rsid w:val="00491046"/>
    <w:rsid w:val="004A2AC7"/>
    <w:rsid w:val="004A6D2F"/>
    <w:rsid w:val="004C2887"/>
    <w:rsid w:val="004C291B"/>
    <w:rsid w:val="004D2626"/>
    <w:rsid w:val="004D6E26"/>
    <w:rsid w:val="004D77D3"/>
    <w:rsid w:val="004E2959"/>
    <w:rsid w:val="004F20EF"/>
    <w:rsid w:val="0050321C"/>
    <w:rsid w:val="0054712D"/>
    <w:rsid w:val="00547EF6"/>
    <w:rsid w:val="005570B5"/>
    <w:rsid w:val="00567E18"/>
    <w:rsid w:val="00575F5F"/>
    <w:rsid w:val="00581805"/>
    <w:rsid w:val="00585F76"/>
    <w:rsid w:val="00593552"/>
    <w:rsid w:val="00594DC9"/>
    <w:rsid w:val="005A34E4"/>
    <w:rsid w:val="005B17F2"/>
    <w:rsid w:val="005B3A22"/>
    <w:rsid w:val="005B7FB0"/>
    <w:rsid w:val="005C35A5"/>
    <w:rsid w:val="005C577C"/>
    <w:rsid w:val="005D0621"/>
    <w:rsid w:val="005D1E27"/>
    <w:rsid w:val="005D2A3E"/>
    <w:rsid w:val="005D3506"/>
    <w:rsid w:val="005E022E"/>
    <w:rsid w:val="005E5215"/>
    <w:rsid w:val="005F17F0"/>
    <w:rsid w:val="005F7F7E"/>
    <w:rsid w:val="00614693"/>
    <w:rsid w:val="00623C2F"/>
    <w:rsid w:val="00633578"/>
    <w:rsid w:val="00637068"/>
    <w:rsid w:val="00641C9D"/>
    <w:rsid w:val="00650811"/>
    <w:rsid w:val="00661D3E"/>
    <w:rsid w:val="0067345A"/>
    <w:rsid w:val="00687E8D"/>
    <w:rsid w:val="00692627"/>
    <w:rsid w:val="006969E7"/>
    <w:rsid w:val="006A3643"/>
    <w:rsid w:val="006A5290"/>
    <w:rsid w:val="006B6A8D"/>
    <w:rsid w:val="006C2A29"/>
    <w:rsid w:val="006C64CF"/>
    <w:rsid w:val="006D17B1"/>
    <w:rsid w:val="006D4752"/>
    <w:rsid w:val="006D708A"/>
    <w:rsid w:val="006E14C1"/>
    <w:rsid w:val="006F0292"/>
    <w:rsid w:val="006F27FA"/>
    <w:rsid w:val="006F416B"/>
    <w:rsid w:val="006F519B"/>
    <w:rsid w:val="00713675"/>
    <w:rsid w:val="00715823"/>
    <w:rsid w:val="0073217C"/>
    <w:rsid w:val="00737B93"/>
    <w:rsid w:val="00745BF0"/>
    <w:rsid w:val="007615FE"/>
    <w:rsid w:val="0076655C"/>
    <w:rsid w:val="007742DC"/>
    <w:rsid w:val="00791437"/>
    <w:rsid w:val="007B0C2C"/>
    <w:rsid w:val="007B278E"/>
    <w:rsid w:val="007B29FC"/>
    <w:rsid w:val="007C5C23"/>
    <w:rsid w:val="007E2A26"/>
    <w:rsid w:val="007F2348"/>
    <w:rsid w:val="00803F07"/>
    <w:rsid w:val="0080749A"/>
    <w:rsid w:val="00821FB8"/>
    <w:rsid w:val="00822ACD"/>
    <w:rsid w:val="00841BA8"/>
    <w:rsid w:val="00855C66"/>
    <w:rsid w:val="00871EE4"/>
    <w:rsid w:val="008750CE"/>
    <w:rsid w:val="00876547"/>
    <w:rsid w:val="008A4C91"/>
    <w:rsid w:val="008B293F"/>
    <w:rsid w:val="008B7371"/>
    <w:rsid w:val="008C6845"/>
    <w:rsid w:val="008D3DDB"/>
    <w:rsid w:val="008F573F"/>
    <w:rsid w:val="008F5FD1"/>
    <w:rsid w:val="009034EC"/>
    <w:rsid w:val="0093067A"/>
    <w:rsid w:val="00941C60"/>
    <w:rsid w:val="00941FD1"/>
    <w:rsid w:val="0096134F"/>
    <w:rsid w:val="00966D42"/>
    <w:rsid w:val="00971689"/>
    <w:rsid w:val="00973E90"/>
    <w:rsid w:val="00975B07"/>
    <w:rsid w:val="00975E18"/>
    <w:rsid w:val="00976892"/>
    <w:rsid w:val="00980B4A"/>
    <w:rsid w:val="00983680"/>
    <w:rsid w:val="009B1767"/>
    <w:rsid w:val="009C74BB"/>
    <w:rsid w:val="009E3D0A"/>
    <w:rsid w:val="009E51FC"/>
    <w:rsid w:val="009F1D28"/>
    <w:rsid w:val="009F7618"/>
    <w:rsid w:val="00A04D23"/>
    <w:rsid w:val="00A06766"/>
    <w:rsid w:val="00A13765"/>
    <w:rsid w:val="00A21B12"/>
    <w:rsid w:val="00A23F80"/>
    <w:rsid w:val="00A46E98"/>
    <w:rsid w:val="00A516B9"/>
    <w:rsid w:val="00A6352B"/>
    <w:rsid w:val="00A701B5"/>
    <w:rsid w:val="00A714BB"/>
    <w:rsid w:val="00A735CF"/>
    <w:rsid w:val="00A74981"/>
    <w:rsid w:val="00A77147"/>
    <w:rsid w:val="00A92D8F"/>
    <w:rsid w:val="00AB2988"/>
    <w:rsid w:val="00AB7999"/>
    <w:rsid w:val="00AD3292"/>
    <w:rsid w:val="00AE0D8A"/>
    <w:rsid w:val="00AE65FF"/>
    <w:rsid w:val="00AE7AF0"/>
    <w:rsid w:val="00B117E0"/>
    <w:rsid w:val="00B15B86"/>
    <w:rsid w:val="00B500CA"/>
    <w:rsid w:val="00B52D2C"/>
    <w:rsid w:val="00B86314"/>
    <w:rsid w:val="00BA1C2E"/>
    <w:rsid w:val="00BB08BE"/>
    <w:rsid w:val="00BC200B"/>
    <w:rsid w:val="00BC4756"/>
    <w:rsid w:val="00BC69A4"/>
    <w:rsid w:val="00BD68EE"/>
    <w:rsid w:val="00BD7E70"/>
    <w:rsid w:val="00BE0680"/>
    <w:rsid w:val="00BE305F"/>
    <w:rsid w:val="00BE7BA3"/>
    <w:rsid w:val="00BF5682"/>
    <w:rsid w:val="00BF7B09"/>
    <w:rsid w:val="00C1575E"/>
    <w:rsid w:val="00C20A95"/>
    <w:rsid w:val="00C2692F"/>
    <w:rsid w:val="00C3207C"/>
    <w:rsid w:val="00C400E1"/>
    <w:rsid w:val="00C41187"/>
    <w:rsid w:val="00C63C31"/>
    <w:rsid w:val="00C71A0C"/>
    <w:rsid w:val="00C743D5"/>
    <w:rsid w:val="00C757A0"/>
    <w:rsid w:val="00C760DE"/>
    <w:rsid w:val="00C82630"/>
    <w:rsid w:val="00C85B4E"/>
    <w:rsid w:val="00C907F7"/>
    <w:rsid w:val="00CA2103"/>
    <w:rsid w:val="00CB6B99"/>
    <w:rsid w:val="00CE4C87"/>
    <w:rsid w:val="00CE544A"/>
    <w:rsid w:val="00CF79E8"/>
    <w:rsid w:val="00D11E1C"/>
    <w:rsid w:val="00D11EFD"/>
    <w:rsid w:val="00D160B0"/>
    <w:rsid w:val="00D17F94"/>
    <w:rsid w:val="00D223FC"/>
    <w:rsid w:val="00D22857"/>
    <w:rsid w:val="00D26D1E"/>
    <w:rsid w:val="00D34DE0"/>
    <w:rsid w:val="00D36DF2"/>
    <w:rsid w:val="00D474CF"/>
    <w:rsid w:val="00D5547E"/>
    <w:rsid w:val="00D55FB0"/>
    <w:rsid w:val="00D61A5C"/>
    <w:rsid w:val="00D834D5"/>
    <w:rsid w:val="00D860E2"/>
    <w:rsid w:val="00D869A1"/>
    <w:rsid w:val="00DA2E6B"/>
    <w:rsid w:val="00DA413F"/>
    <w:rsid w:val="00DA4584"/>
    <w:rsid w:val="00DA614B"/>
    <w:rsid w:val="00DA6C95"/>
    <w:rsid w:val="00DB3F1A"/>
    <w:rsid w:val="00DB7AD7"/>
    <w:rsid w:val="00DC3060"/>
    <w:rsid w:val="00DD6D61"/>
    <w:rsid w:val="00DE0FB2"/>
    <w:rsid w:val="00DF093E"/>
    <w:rsid w:val="00E01F42"/>
    <w:rsid w:val="00E206D6"/>
    <w:rsid w:val="00E3366E"/>
    <w:rsid w:val="00E41058"/>
    <w:rsid w:val="00E52086"/>
    <w:rsid w:val="00E543A6"/>
    <w:rsid w:val="00E60479"/>
    <w:rsid w:val="00E613AB"/>
    <w:rsid w:val="00E61D73"/>
    <w:rsid w:val="00E70D87"/>
    <w:rsid w:val="00E73684"/>
    <w:rsid w:val="00E818D6"/>
    <w:rsid w:val="00E87F7A"/>
    <w:rsid w:val="00E94B3E"/>
    <w:rsid w:val="00E96BD7"/>
    <w:rsid w:val="00EA0DB1"/>
    <w:rsid w:val="00EA0EE9"/>
    <w:rsid w:val="00EC7280"/>
    <w:rsid w:val="00ED52CA"/>
    <w:rsid w:val="00ED5860"/>
    <w:rsid w:val="00EE138B"/>
    <w:rsid w:val="00EE35C9"/>
    <w:rsid w:val="00F05ECA"/>
    <w:rsid w:val="00F106C5"/>
    <w:rsid w:val="00F13974"/>
    <w:rsid w:val="00F15B44"/>
    <w:rsid w:val="00F33626"/>
    <w:rsid w:val="00F3566E"/>
    <w:rsid w:val="00F375FB"/>
    <w:rsid w:val="00F41AC1"/>
    <w:rsid w:val="00F4367A"/>
    <w:rsid w:val="00F438DB"/>
    <w:rsid w:val="00F445B1"/>
    <w:rsid w:val="00F45CD4"/>
    <w:rsid w:val="00F66DCA"/>
    <w:rsid w:val="00F71378"/>
    <w:rsid w:val="00F74F53"/>
    <w:rsid w:val="00F7606D"/>
    <w:rsid w:val="00F81670"/>
    <w:rsid w:val="00F82024"/>
    <w:rsid w:val="00F946A1"/>
    <w:rsid w:val="00F95BC9"/>
    <w:rsid w:val="00FA624C"/>
    <w:rsid w:val="00FB5794"/>
    <w:rsid w:val="00FB746C"/>
    <w:rsid w:val="00FC778E"/>
    <w:rsid w:val="00FD0FAC"/>
    <w:rsid w:val="00FD1DFA"/>
    <w:rsid w:val="00FD4966"/>
    <w:rsid w:val="00FE57DC"/>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798C-A962-405D-89E6-86233AFF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34</TotalTime>
  <Pages>6</Pages>
  <Words>1928</Words>
  <Characters>9754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TBandekar</dc:creator>
  <cp:lastModifiedBy>JMitchell</cp:lastModifiedBy>
  <cp:revision>8</cp:revision>
  <cp:lastPrinted>2015-07-03T12:50:00Z</cp:lastPrinted>
  <dcterms:created xsi:type="dcterms:W3CDTF">2019-08-08T13:00:00Z</dcterms:created>
  <dcterms:modified xsi:type="dcterms:W3CDTF">2019-08-28T10:05:00Z</dcterms:modified>
</cp:coreProperties>
</file>